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D67B" w14:textId="3C7FA638" w:rsidR="00DC0AF8" w:rsidRPr="00DC2D13" w:rsidRDefault="00DC0AF8" w:rsidP="00DC0AF8">
      <w:pPr>
        <w:spacing w:line="276" w:lineRule="auto"/>
        <w:jc w:val="both"/>
        <w:rPr>
          <w:rFonts w:ascii="Arial" w:eastAsia="Arial" w:hAnsi="Arial" w:cs="Arial"/>
          <w:b/>
          <w:color w:val="000000" w:themeColor="text1"/>
          <w:sz w:val="22"/>
          <w:szCs w:val="22"/>
        </w:rPr>
      </w:pPr>
      <w:r w:rsidRPr="00DC2D13">
        <w:rPr>
          <w:rFonts w:ascii="Arial" w:eastAsia="Arial" w:hAnsi="Arial" w:cs="Arial"/>
          <w:b/>
          <w:color w:val="000000" w:themeColor="text1"/>
          <w:sz w:val="22"/>
          <w:szCs w:val="22"/>
        </w:rPr>
        <w:t xml:space="preserve">DICTAMEN PARA ACTUALIZAR EL PADRÓN DE PERSONAS FÍSICAS Y MORALES QUE RECIBEN Y EJERCEN RECURSOS PÚBLICOS Y/O REALIZAN ACTOS DE AUTORIDAD Y PARA DETERMINAR LA FORMA EN QUE DEBERÁN CUMPLIR CON SUS OBLIGACIONES DE </w:t>
      </w:r>
      <w:r w:rsidRPr="0024302E">
        <w:rPr>
          <w:rFonts w:ascii="Arial" w:eastAsia="Arial" w:hAnsi="Arial" w:cs="Arial"/>
          <w:b/>
          <w:color w:val="000000" w:themeColor="text1"/>
          <w:sz w:val="22"/>
          <w:szCs w:val="22"/>
        </w:rPr>
        <w:t xml:space="preserve">TRANSPARENCIA Y ACCESO A LA INFORMACIÓN, CORRESPONDIENTE AL EJERCICIO </w:t>
      </w:r>
      <w:r w:rsidRPr="00264FC7">
        <w:rPr>
          <w:rFonts w:ascii="Arial" w:eastAsia="Arial" w:hAnsi="Arial" w:cs="Arial"/>
          <w:b/>
          <w:color w:val="000000" w:themeColor="text1"/>
          <w:sz w:val="22"/>
          <w:szCs w:val="22"/>
        </w:rPr>
        <w:t xml:space="preserve">FISCAL </w:t>
      </w:r>
      <w:r w:rsidR="00846A31" w:rsidRPr="00264FC7">
        <w:rPr>
          <w:rFonts w:ascii="Arial" w:eastAsia="Arial" w:hAnsi="Arial" w:cs="Arial"/>
          <w:b/>
          <w:color w:val="000000" w:themeColor="text1"/>
          <w:sz w:val="22"/>
          <w:szCs w:val="22"/>
        </w:rPr>
        <w:t>202</w:t>
      </w:r>
      <w:r w:rsidR="000834FD" w:rsidRPr="00264FC7">
        <w:rPr>
          <w:rFonts w:ascii="Arial" w:eastAsia="Arial" w:hAnsi="Arial" w:cs="Arial"/>
          <w:b/>
          <w:color w:val="000000" w:themeColor="text1"/>
          <w:sz w:val="22"/>
          <w:szCs w:val="22"/>
        </w:rPr>
        <w:t>2</w:t>
      </w:r>
      <w:r w:rsidRPr="00264FC7">
        <w:rPr>
          <w:rFonts w:ascii="Arial" w:eastAsia="Arial" w:hAnsi="Arial" w:cs="Arial"/>
          <w:b/>
          <w:color w:val="000000" w:themeColor="text1"/>
          <w:sz w:val="22"/>
          <w:szCs w:val="22"/>
        </w:rPr>
        <w:t>.</w:t>
      </w:r>
    </w:p>
    <w:p w14:paraId="2C862385" w14:textId="77777777" w:rsidR="00DC0AF8" w:rsidRPr="00DC2D13" w:rsidRDefault="00DC0AF8" w:rsidP="00DC0AF8">
      <w:pPr>
        <w:spacing w:line="276" w:lineRule="auto"/>
        <w:jc w:val="both"/>
        <w:rPr>
          <w:rFonts w:ascii="Arial" w:eastAsia="Arial" w:hAnsi="Arial" w:cs="Arial"/>
          <w:b/>
          <w:color w:val="000000" w:themeColor="text1"/>
          <w:sz w:val="22"/>
          <w:szCs w:val="22"/>
        </w:rPr>
      </w:pPr>
    </w:p>
    <w:p w14:paraId="310D824E"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 xml:space="preserve">VISTAS </w:t>
      </w:r>
      <w:r w:rsidRPr="00DC2D13">
        <w:rPr>
          <w:rFonts w:ascii="Arial" w:eastAsia="Arial" w:hAnsi="Arial" w:cs="Arial"/>
          <w:color w:val="000000" w:themeColor="text1"/>
          <w:sz w:val="22"/>
          <w:szCs w:val="22"/>
        </w:rPr>
        <w:t>las constancias para determinar la actualización del padrón de personas físicas y morales que reciben y ejercen recursos públicos y/o realizan actos de autoridad y la forma en que deberán cumplir con sus obligaciones de transparencia y acceso a la información, se procede a emitir el presente dictamen en razón de los siguientes:</w:t>
      </w:r>
    </w:p>
    <w:p w14:paraId="6E4CADC5"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0EB34AB1" w14:textId="77777777" w:rsidR="00DC0AF8" w:rsidRPr="00923728" w:rsidRDefault="00DC0AF8" w:rsidP="00DC0AF8">
      <w:pPr>
        <w:spacing w:line="276" w:lineRule="auto"/>
        <w:jc w:val="center"/>
        <w:rPr>
          <w:rFonts w:ascii="Arial" w:eastAsia="Arial" w:hAnsi="Arial" w:cs="Arial"/>
          <w:b/>
          <w:color w:val="000000" w:themeColor="text1"/>
          <w:sz w:val="22"/>
          <w:szCs w:val="22"/>
          <w:lang w:val="pt-BR"/>
        </w:rPr>
      </w:pPr>
      <w:r w:rsidRPr="00923728">
        <w:rPr>
          <w:rFonts w:ascii="Arial" w:eastAsia="Arial" w:hAnsi="Arial" w:cs="Arial"/>
          <w:b/>
          <w:color w:val="000000" w:themeColor="text1"/>
          <w:sz w:val="22"/>
          <w:szCs w:val="22"/>
          <w:lang w:val="pt-BR"/>
        </w:rPr>
        <w:t>R E S U L T A N D O S</w:t>
      </w:r>
    </w:p>
    <w:p w14:paraId="0F451FFA" w14:textId="77777777" w:rsidR="00DC0AF8" w:rsidRPr="00923728" w:rsidRDefault="00DC0AF8" w:rsidP="00DC0AF8">
      <w:pPr>
        <w:spacing w:line="276" w:lineRule="auto"/>
        <w:jc w:val="center"/>
        <w:rPr>
          <w:rFonts w:ascii="Arial" w:eastAsia="Arial" w:hAnsi="Arial" w:cs="Arial"/>
          <w:b/>
          <w:color w:val="000000" w:themeColor="text1"/>
          <w:sz w:val="22"/>
          <w:szCs w:val="22"/>
          <w:lang w:val="pt-BR"/>
        </w:rPr>
      </w:pPr>
    </w:p>
    <w:p w14:paraId="69E86BB8" w14:textId="77777777" w:rsidR="00DC0AF8" w:rsidRPr="00DC2D13" w:rsidRDefault="00DC0AF8" w:rsidP="00DC0AF8">
      <w:pPr>
        <w:widowControl w:val="0"/>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1.</w:t>
      </w:r>
      <w:r w:rsidRPr="00DC2D13">
        <w:rPr>
          <w:rFonts w:ascii="Arial" w:eastAsia="Arial" w:hAnsi="Arial" w:cs="Arial"/>
          <w:color w:val="000000" w:themeColor="text1"/>
          <w:sz w:val="22"/>
          <w:szCs w:val="22"/>
        </w:rPr>
        <w:t xml:space="preserve"> El siete de febrero de dos mil catorce, el Ejecutivo Federal promulgó en el Diario Oficial de la Federación (DOF), el Decreto por el que se reforman y adicionan diversas disposiciones de la Constitución Política </w:t>
      </w:r>
      <w:r>
        <w:rPr>
          <w:rFonts w:ascii="Arial" w:eastAsia="Arial" w:hAnsi="Arial" w:cs="Arial"/>
          <w:color w:val="000000" w:themeColor="text1"/>
          <w:sz w:val="22"/>
          <w:szCs w:val="22"/>
        </w:rPr>
        <w:t>de los Estados Unidos Mexicanos</w:t>
      </w:r>
      <w:r w:rsidRPr="00DC2D13">
        <w:rPr>
          <w:rFonts w:ascii="Arial" w:eastAsia="Arial" w:hAnsi="Arial" w:cs="Arial"/>
          <w:color w:val="000000" w:themeColor="text1"/>
          <w:sz w:val="22"/>
          <w:szCs w:val="22"/>
        </w:rPr>
        <w:t xml:space="preserve"> en el que se modificó</w:t>
      </w:r>
      <w:r>
        <w:rPr>
          <w:rFonts w:ascii="Arial" w:eastAsia="Arial" w:hAnsi="Arial" w:cs="Arial"/>
          <w:color w:val="000000" w:themeColor="text1"/>
          <w:sz w:val="22"/>
          <w:szCs w:val="22"/>
        </w:rPr>
        <w:t>,</w:t>
      </w:r>
      <w:r w:rsidRPr="00DC2D13">
        <w:rPr>
          <w:rFonts w:ascii="Arial" w:eastAsia="Arial" w:hAnsi="Arial" w:cs="Arial"/>
          <w:color w:val="000000" w:themeColor="text1"/>
          <w:sz w:val="22"/>
          <w:szCs w:val="22"/>
        </w:rPr>
        <w:t xml:space="preserve"> entre otros, el artículo sexto, el cual establece que toda la información en posesión de cualquier autoridad, entidad, órgano y organismo de los Poderes Ejecutivo, Legislativo y Judicial, órganos autónomos, partidos políticos, fideicomisos y fondos públicos, así como de cualquier </w:t>
      </w:r>
      <w:r w:rsidRPr="00DC2D13">
        <w:rPr>
          <w:rFonts w:ascii="Arial" w:eastAsia="Arial" w:hAnsi="Arial" w:cs="Arial"/>
          <w:color w:val="000000" w:themeColor="text1"/>
          <w:sz w:val="22"/>
          <w:szCs w:val="22"/>
          <w:u w:val="single"/>
        </w:rPr>
        <w:t>persona física, moral</w:t>
      </w:r>
      <w:r w:rsidRPr="00DC2D13">
        <w:rPr>
          <w:rFonts w:ascii="Arial" w:eastAsia="Arial" w:hAnsi="Arial" w:cs="Arial"/>
          <w:color w:val="000000" w:themeColor="text1"/>
          <w:sz w:val="22"/>
          <w:szCs w:val="22"/>
        </w:rPr>
        <w:t xml:space="preserve"> o sindicato que </w:t>
      </w:r>
      <w:r w:rsidRPr="00DC2D13">
        <w:rPr>
          <w:rFonts w:ascii="Arial" w:eastAsia="Arial" w:hAnsi="Arial" w:cs="Arial"/>
          <w:color w:val="000000" w:themeColor="text1"/>
          <w:sz w:val="22"/>
          <w:szCs w:val="22"/>
          <w:u w:val="single"/>
        </w:rPr>
        <w:t>reciba y ejerza recursos públicos o realice actos de autoridad</w:t>
      </w:r>
      <w:r w:rsidRPr="00DC2D13">
        <w:rPr>
          <w:rFonts w:ascii="Arial" w:eastAsia="Arial" w:hAnsi="Arial" w:cs="Arial"/>
          <w:color w:val="000000" w:themeColor="text1"/>
          <w:sz w:val="22"/>
          <w:szCs w:val="22"/>
        </w:rPr>
        <w:t xml:space="preserve"> en el ámbito federal, estatal y municipal, es pública y sólo podrá ser reservada temporalmente por razones de interés público y seguridad nacional, en los términos que fijen las leyes. </w:t>
      </w:r>
    </w:p>
    <w:p w14:paraId="14797100" w14:textId="77777777" w:rsidR="00DC0AF8" w:rsidRPr="00DC2D13" w:rsidRDefault="00DC0AF8" w:rsidP="00DC0AF8">
      <w:pPr>
        <w:widowControl w:val="0"/>
        <w:spacing w:line="276" w:lineRule="auto"/>
        <w:jc w:val="both"/>
        <w:rPr>
          <w:rFonts w:ascii="Arial" w:eastAsia="Arial" w:hAnsi="Arial" w:cs="Arial"/>
          <w:color w:val="000000" w:themeColor="text1"/>
          <w:sz w:val="22"/>
          <w:szCs w:val="22"/>
        </w:rPr>
      </w:pPr>
    </w:p>
    <w:p w14:paraId="11F0C9D8" w14:textId="77777777" w:rsidR="00DC0AF8" w:rsidRPr="00DC2D13" w:rsidRDefault="00DC0AF8" w:rsidP="00DC0AF8">
      <w:pPr>
        <w:widowControl w:val="0"/>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2.</w:t>
      </w:r>
      <w:r w:rsidRPr="00DC2D13">
        <w:rPr>
          <w:rFonts w:ascii="Arial" w:eastAsia="Arial" w:hAnsi="Arial" w:cs="Arial"/>
          <w:color w:val="000000" w:themeColor="text1"/>
          <w:sz w:val="22"/>
          <w:szCs w:val="22"/>
        </w:rPr>
        <w:t xml:space="preserve"> El cuatro de mayo de dos mil quince se publicó en el DOF la Ley General de Transparencia y Acceso a la Información Pública (Ley General), que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5D7C29D3" w14:textId="77777777" w:rsidR="00DC0AF8" w:rsidRPr="00DC2D13" w:rsidRDefault="00DC0AF8" w:rsidP="00DC0AF8">
      <w:pPr>
        <w:spacing w:line="276" w:lineRule="auto"/>
        <w:jc w:val="both"/>
        <w:rPr>
          <w:rFonts w:ascii="Arial" w:eastAsia="Arial" w:hAnsi="Arial" w:cs="Arial"/>
          <w:b/>
          <w:color w:val="000000" w:themeColor="text1"/>
          <w:sz w:val="22"/>
          <w:szCs w:val="22"/>
        </w:rPr>
      </w:pPr>
    </w:p>
    <w:p w14:paraId="7F5D72FE" w14:textId="2ABF6941" w:rsidR="00DC0AF8" w:rsidRPr="00DC2D13" w:rsidRDefault="00DC0AF8" w:rsidP="00DC0AF8">
      <w:pPr>
        <w:autoSpaceDE w:val="0"/>
        <w:autoSpaceDN w:val="0"/>
        <w:spacing w:line="276" w:lineRule="auto"/>
        <w:jc w:val="both"/>
        <w:rPr>
          <w:rFonts w:ascii="Arial" w:hAnsi="Arial" w:cs="Arial"/>
          <w:color w:val="000000" w:themeColor="text1"/>
          <w:sz w:val="22"/>
          <w:szCs w:val="22"/>
        </w:rPr>
      </w:pPr>
      <w:r w:rsidRPr="00DC2D13">
        <w:rPr>
          <w:rFonts w:ascii="Arial" w:eastAsia="Arial" w:hAnsi="Arial" w:cs="Arial"/>
          <w:b/>
          <w:color w:val="000000" w:themeColor="text1"/>
          <w:sz w:val="22"/>
          <w:szCs w:val="22"/>
        </w:rPr>
        <w:t>3.</w:t>
      </w:r>
      <w:r w:rsidRPr="00DC2D13">
        <w:rPr>
          <w:rFonts w:ascii="Arial" w:eastAsia="Arial" w:hAnsi="Arial" w:cs="Arial"/>
          <w:color w:val="000000" w:themeColor="text1"/>
          <w:sz w:val="22"/>
          <w:szCs w:val="22"/>
        </w:rPr>
        <w:t xml:space="preserve"> El cuatro de mayo de dos mil dieciséis se publicaron</w:t>
      </w:r>
      <w:r>
        <w:rPr>
          <w:rFonts w:ascii="Arial" w:eastAsia="Arial" w:hAnsi="Arial" w:cs="Arial"/>
          <w:color w:val="000000" w:themeColor="text1"/>
          <w:sz w:val="22"/>
          <w:szCs w:val="22"/>
        </w:rPr>
        <w:t>,</w:t>
      </w:r>
      <w:r w:rsidRPr="00DC2D13">
        <w:rPr>
          <w:rFonts w:ascii="Arial" w:eastAsia="Arial" w:hAnsi="Arial" w:cs="Arial"/>
          <w:color w:val="000000" w:themeColor="text1"/>
          <w:sz w:val="22"/>
          <w:szCs w:val="22"/>
        </w:rPr>
        <w:t xml:space="preserve"> en el DOF</w:t>
      </w:r>
      <w:r>
        <w:rPr>
          <w:rFonts w:ascii="Arial" w:eastAsia="Arial" w:hAnsi="Arial" w:cs="Arial"/>
          <w:color w:val="000000" w:themeColor="text1"/>
          <w:sz w:val="22"/>
          <w:szCs w:val="22"/>
        </w:rPr>
        <w:t>,</w:t>
      </w:r>
      <w:r w:rsidRPr="00DC2D13">
        <w:rPr>
          <w:rFonts w:ascii="Arial" w:eastAsia="Arial" w:hAnsi="Arial" w:cs="Arial"/>
          <w:color w:val="000000" w:themeColor="text1"/>
          <w:sz w:val="22"/>
          <w:szCs w:val="22"/>
        </w:rPr>
        <w:t xml:space="preserv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w:t>
      </w:r>
      <w:r w:rsidRPr="00DC2D13">
        <w:rPr>
          <w:rFonts w:ascii="Arial" w:eastAsia="Arial" w:hAnsi="Arial" w:cs="Arial"/>
          <w:color w:val="000000" w:themeColor="text1"/>
          <w:sz w:val="22"/>
          <w:szCs w:val="22"/>
        </w:rPr>
        <w:lastRenderedPageBreak/>
        <w:t xml:space="preserve">sujetos obligados en los portales de Internet y en la Plataforma Nacional de Transparencia, (Lineamientos Técnicos Generales), </w:t>
      </w:r>
      <w:r w:rsidR="0024302E">
        <w:rPr>
          <w:rFonts w:ascii="Arial" w:eastAsia="Arial" w:hAnsi="Arial" w:cs="Arial"/>
          <w:color w:val="000000" w:themeColor="text1"/>
          <w:sz w:val="22"/>
          <w:szCs w:val="22"/>
        </w:rPr>
        <w:t xml:space="preserve">cuya última </w:t>
      </w:r>
      <w:r w:rsidRPr="00DC2D13">
        <w:rPr>
          <w:rFonts w:ascii="Arial" w:eastAsia="Arial" w:hAnsi="Arial" w:cs="Arial"/>
          <w:color w:val="000000" w:themeColor="text1"/>
          <w:sz w:val="22"/>
          <w:szCs w:val="22"/>
        </w:rPr>
        <w:t>modifica</w:t>
      </w:r>
      <w:r w:rsidR="0024302E">
        <w:rPr>
          <w:rFonts w:ascii="Arial" w:eastAsia="Arial" w:hAnsi="Arial" w:cs="Arial"/>
          <w:color w:val="000000" w:themeColor="text1"/>
          <w:sz w:val="22"/>
          <w:szCs w:val="22"/>
        </w:rPr>
        <w:t xml:space="preserve">ción se aprobó mediante </w:t>
      </w:r>
      <w:r w:rsidRPr="00DC2D13">
        <w:rPr>
          <w:rFonts w:ascii="Arial" w:eastAsia="Arial" w:hAnsi="Arial" w:cs="Arial"/>
          <w:color w:val="000000" w:themeColor="text1"/>
          <w:sz w:val="22"/>
          <w:szCs w:val="22"/>
        </w:rPr>
        <w:t xml:space="preserve">Acuerdo  </w:t>
      </w:r>
      <w:r w:rsidR="0024302E" w:rsidRPr="0024302E">
        <w:rPr>
          <w:rFonts w:ascii="Arial" w:eastAsia="Arial" w:hAnsi="Arial" w:cs="Arial"/>
          <w:color w:val="000000" w:themeColor="text1"/>
          <w:sz w:val="22"/>
          <w:szCs w:val="22"/>
        </w:rPr>
        <w:t>CONAIP/SNT/ACUERDO/EXT01-05/11/2020-03</w:t>
      </w:r>
      <w:r>
        <w:rPr>
          <w:rFonts w:ascii="Arial" w:eastAsia="Arial" w:hAnsi="Arial" w:cs="Arial"/>
          <w:color w:val="000000" w:themeColor="text1"/>
          <w:sz w:val="22"/>
          <w:szCs w:val="22"/>
        </w:rPr>
        <w:t>,</w:t>
      </w:r>
      <w:r w:rsidRPr="00DC2D13">
        <w:rPr>
          <w:rFonts w:ascii="Arial" w:eastAsia="Arial" w:hAnsi="Arial" w:cs="Arial"/>
          <w:color w:val="000000" w:themeColor="text1"/>
          <w:sz w:val="22"/>
          <w:szCs w:val="22"/>
        </w:rPr>
        <w:t xml:space="preserve"> publicado en el DOF el veintiocho de diciembre de dos mil </w:t>
      </w:r>
      <w:r w:rsidR="0024302E">
        <w:rPr>
          <w:rFonts w:ascii="Arial" w:eastAsia="Arial" w:hAnsi="Arial" w:cs="Arial"/>
          <w:color w:val="000000" w:themeColor="text1"/>
          <w:sz w:val="22"/>
          <w:szCs w:val="22"/>
        </w:rPr>
        <w:t>veinte</w:t>
      </w:r>
      <w:r w:rsidRPr="00DC2D13">
        <w:rPr>
          <w:rFonts w:ascii="Arial" w:eastAsia="Arial" w:hAnsi="Arial" w:cs="Arial"/>
          <w:color w:val="000000" w:themeColor="text1"/>
          <w:sz w:val="22"/>
          <w:szCs w:val="22"/>
        </w:rPr>
        <w:t>, en cuyo Anexo XIV, se establece el procedimiento que los organismos garantes llevarán a cabo para determinar, dentro de sus respectivas competencias, el Padrón de Personas Físicas y Morales y la forma en que deben cumplir con las obligaciones de transparencia y acceso a la información, directamente o a través de los s</w:t>
      </w:r>
      <w:r>
        <w:rPr>
          <w:rFonts w:ascii="Arial" w:eastAsia="Arial" w:hAnsi="Arial" w:cs="Arial"/>
          <w:color w:val="000000" w:themeColor="text1"/>
          <w:sz w:val="22"/>
          <w:szCs w:val="22"/>
        </w:rPr>
        <w:t>ujetos obligados que otorgaron</w:t>
      </w:r>
      <w:r w:rsidRPr="00DC2D13">
        <w:rPr>
          <w:rFonts w:ascii="Arial" w:eastAsia="Arial" w:hAnsi="Arial" w:cs="Arial"/>
          <w:color w:val="000000" w:themeColor="text1"/>
          <w:sz w:val="22"/>
          <w:szCs w:val="22"/>
        </w:rPr>
        <w:t xml:space="preserve"> los recursos públicos y/o facultaron para la realización de actos de autoridad.</w:t>
      </w:r>
    </w:p>
    <w:p w14:paraId="3F117754" w14:textId="77777777" w:rsidR="00DC0AF8" w:rsidRPr="00DC2D13" w:rsidRDefault="00DC0AF8" w:rsidP="00DC0AF8">
      <w:pPr>
        <w:spacing w:line="276" w:lineRule="auto"/>
        <w:jc w:val="both"/>
        <w:rPr>
          <w:rFonts w:ascii="Arial" w:eastAsia="Arial" w:hAnsi="Arial" w:cs="Arial"/>
          <w:b/>
          <w:color w:val="000000" w:themeColor="text1"/>
          <w:sz w:val="22"/>
          <w:szCs w:val="22"/>
        </w:rPr>
      </w:pPr>
    </w:p>
    <w:p w14:paraId="1C1BB180" w14:textId="77777777" w:rsidR="00DC0AF8" w:rsidRPr="00DC2D13" w:rsidRDefault="00DC0AF8" w:rsidP="00DC0AF8">
      <w:pPr>
        <w:shd w:val="clear" w:color="auto" w:fill="FFFFFF"/>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4.</w:t>
      </w:r>
      <w:r w:rsidRPr="00DC2D13">
        <w:rPr>
          <w:rFonts w:ascii="Arial" w:eastAsia="Arial" w:hAnsi="Arial" w:cs="Arial"/>
          <w:color w:val="000000" w:themeColor="text1"/>
          <w:sz w:val="22"/>
          <w:szCs w:val="22"/>
        </w:rPr>
        <w:t xml:space="preserve"> El nue</w:t>
      </w:r>
      <w:r>
        <w:rPr>
          <w:rFonts w:ascii="Arial" w:eastAsia="Arial" w:hAnsi="Arial" w:cs="Arial"/>
          <w:color w:val="000000" w:themeColor="text1"/>
          <w:sz w:val="22"/>
          <w:szCs w:val="22"/>
        </w:rPr>
        <w:t>ve de mayo de dos mil dieciséis</w:t>
      </w:r>
      <w:r w:rsidRPr="00DC2D13">
        <w:rPr>
          <w:rFonts w:ascii="Arial" w:eastAsia="Arial" w:hAnsi="Arial" w:cs="Arial"/>
          <w:color w:val="000000" w:themeColor="text1"/>
          <w:sz w:val="22"/>
          <w:szCs w:val="22"/>
        </w:rPr>
        <w:t xml:space="preserve"> se publicó, en el DOF, la Ley Federal de Transparencia y Acceso a la Información Pública (Ley Federal), cuyo objeto es proveer lo necesario en el ámbito federal, para garantizar el derecho de acceso a la información pública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federales o realice actos de autoridad.</w:t>
      </w:r>
    </w:p>
    <w:p w14:paraId="6D754920" w14:textId="77777777" w:rsidR="00DC0AF8" w:rsidRPr="00DC2D13" w:rsidRDefault="00DC0AF8" w:rsidP="00DC0AF8">
      <w:pPr>
        <w:shd w:val="clear" w:color="auto" w:fill="FFFFFF"/>
        <w:spacing w:line="276" w:lineRule="auto"/>
        <w:jc w:val="both"/>
        <w:rPr>
          <w:rFonts w:ascii="Arial" w:eastAsia="Arial" w:hAnsi="Arial" w:cs="Arial"/>
          <w:color w:val="000000" w:themeColor="text1"/>
          <w:sz w:val="22"/>
          <w:szCs w:val="22"/>
        </w:rPr>
      </w:pPr>
    </w:p>
    <w:p w14:paraId="4783315B" w14:textId="77777777" w:rsidR="00DC0AF8" w:rsidRPr="0024302E" w:rsidRDefault="00DC0AF8" w:rsidP="00DC0AF8">
      <w:pPr>
        <w:widowControl w:val="0"/>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5.</w:t>
      </w:r>
      <w:r w:rsidRPr="00DC2D13">
        <w:rPr>
          <w:rFonts w:ascii="Arial" w:eastAsia="Arial" w:hAnsi="Arial" w:cs="Arial"/>
          <w:color w:val="000000" w:themeColor="text1"/>
          <w:sz w:val="22"/>
          <w:szCs w:val="22"/>
        </w:rPr>
        <w:t xml:space="preserve"> El primero de febrero de dos mil diecisiete, el Pleno de este Instituto emitió el Acuerdo ACT-PUB/01/02/2017</w:t>
      </w:r>
      <w:r>
        <w:rPr>
          <w:rFonts w:ascii="Arial" w:eastAsia="Arial" w:hAnsi="Arial" w:cs="Arial"/>
          <w:color w:val="000000" w:themeColor="text1"/>
          <w:sz w:val="22"/>
          <w:szCs w:val="22"/>
        </w:rPr>
        <w:t>.04 mediante el cual se aprobaron</w:t>
      </w:r>
      <w:r w:rsidRPr="00DC2D13">
        <w:rPr>
          <w:rFonts w:ascii="Arial" w:eastAsia="Arial" w:hAnsi="Arial" w:cs="Arial"/>
          <w:color w:val="000000" w:themeColor="text1"/>
          <w:sz w:val="22"/>
          <w:szCs w:val="22"/>
        </w:rPr>
        <w:t xml:space="preserve"> los Lineamientos Generales que establecen los criterios para el cumplimiento de las obligaciones de transparencia y acceso a la información a cargo de las personas físicas y morales que reciben y ejercen recursos públicos o realicen actos de autoridad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publicado</w:t>
      </w:r>
      <w:r>
        <w:rPr>
          <w:rFonts w:ascii="Arial" w:eastAsia="Arial" w:hAnsi="Arial" w:cs="Arial"/>
          <w:color w:val="000000" w:themeColor="text1"/>
          <w:sz w:val="22"/>
          <w:szCs w:val="22"/>
        </w:rPr>
        <w:t>s</w:t>
      </w:r>
      <w:r w:rsidRPr="00DC2D13">
        <w:rPr>
          <w:rFonts w:ascii="Arial" w:eastAsia="Arial" w:hAnsi="Arial" w:cs="Arial"/>
          <w:color w:val="000000" w:themeColor="text1"/>
          <w:sz w:val="22"/>
          <w:szCs w:val="22"/>
        </w:rPr>
        <w:t xml:space="preserve"> en el DOF el trece de marzo de dos mil diecisiete, cuya finalidad es establecer los criterios a partir de los cuales el Instituto determinará la forma en que las personas físicas o morales que reciban y ejerzan recursos públicos o realicen actos de autoridad, cumplirán con las obligaciones de transparencia y acceso a la información que establecen las leyes de la </w:t>
      </w:r>
      <w:r w:rsidRPr="0024302E">
        <w:rPr>
          <w:rFonts w:ascii="Arial" w:eastAsia="Arial" w:hAnsi="Arial" w:cs="Arial"/>
          <w:color w:val="000000" w:themeColor="text1"/>
          <w:sz w:val="22"/>
          <w:szCs w:val="22"/>
        </w:rPr>
        <w:t>materia.</w:t>
      </w:r>
    </w:p>
    <w:p w14:paraId="0F095D15" w14:textId="77777777" w:rsidR="00DC0AF8" w:rsidRPr="0024302E" w:rsidRDefault="00DC0AF8" w:rsidP="00DC0AF8">
      <w:pPr>
        <w:widowControl w:val="0"/>
        <w:spacing w:line="276" w:lineRule="auto"/>
        <w:jc w:val="both"/>
        <w:rPr>
          <w:rFonts w:ascii="Arial" w:eastAsia="Arial" w:hAnsi="Arial" w:cs="Arial"/>
          <w:color w:val="000000" w:themeColor="text1"/>
          <w:sz w:val="22"/>
          <w:szCs w:val="22"/>
        </w:rPr>
      </w:pPr>
    </w:p>
    <w:p w14:paraId="7544AD1E" w14:textId="14945F17" w:rsidR="00DC0AF8" w:rsidRPr="0024302E" w:rsidRDefault="00DC0AF8" w:rsidP="00DC0AF8">
      <w:pPr>
        <w:spacing w:line="276" w:lineRule="auto"/>
        <w:jc w:val="both"/>
        <w:rPr>
          <w:rFonts w:ascii="Arial" w:eastAsia="Arial" w:hAnsi="Arial" w:cs="Arial"/>
          <w:bCs/>
          <w:color w:val="000000" w:themeColor="text1"/>
          <w:sz w:val="22"/>
          <w:szCs w:val="22"/>
        </w:rPr>
      </w:pPr>
      <w:r w:rsidRPr="00EE7AE1">
        <w:rPr>
          <w:rFonts w:ascii="Arial" w:eastAsia="Arial" w:hAnsi="Arial" w:cs="Arial"/>
          <w:b/>
          <w:color w:val="000000" w:themeColor="text1"/>
          <w:sz w:val="22"/>
          <w:szCs w:val="22"/>
        </w:rPr>
        <w:t xml:space="preserve">6. </w:t>
      </w:r>
      <w:r w:rsidRPr="00EE7AE1">
        <w:rPr>
          <w:rFonts w:ascii="Arial" w:eastAsia="Arial" w:hAnsi="Arial" w:cs="Arial"/>
          <w:bCs/>
          <w:color w:val="000000" w:themeColor="text1"/>
          <w:sz w:val="22"/>
          <w:szCs w:val="22"/>
        </w:rPr>
        <w:t>El</w:t>
      </w:r>
      <w:r w:rsidR="00B57B45" w:rsidRPr="00EE7AE1">
        <w:rPr>
          <w:rFonts w:ascii="Arial" w:eastAsia="Arial" w:hAnsi="Arial" w:cs="Arial"/>
          <w:bCs/>
          <w:color w:val="000000" w:themeColor="text1"/>
          <w:sz w:val="22"/>
          <w:szCs w:val="22"/>
        </w:rPr>
        <w:t xml:space="preserve"> treinta y uno de marzo de dos mil veintidós</w:t>
      </w:r>
      <w:r w:rsidRPr="00EE7AE1">
        <w:rPr>
          <w:rFonts w:ascii="Arial" w:eastAsia="Arial" w:hAnsi="Arial" w:cs="Arial"/>
          <w:bCs/>
          <w:color w:val="000000" w:themeColor="text1"/>
          <w:sz w:val="22"/>
          <w:szCs w:val="22"/>
        </w:rPr>
        <w:t>, el Plen</w:t>
      </w:r>
      <w:r w:rsidRPr="00415785">
        <w:rPr>
          <w:rFonts w:ascii="Arial" w:eastAsia="Arial" w:hAnsi="Arial" w:cs="Arial"/>
          <w:bCs/>
          <w:color w:val="000000" w:themeColor="text1"/>
          <w:sz w:val="22"/>
          <w:szCs w:val="22"/>
        </w:rPr>
        <w:t xml:space="preserve">o del INAI aprobó el Acuerdo mediante el cual se aprueba la actualización del padrón de personas físicas y morales que </w:t>
      </w:r>
      <w:r w:rsidRPr="00EE7AE1">
        <w:rPr>
          <w:rFonts w:ascii="Arial" w:eastAsia="Arial" w:hAnsi="Arial" w:cs="Arial"/>
          <w:bCs/>
          <w:color w:val="000000" w:themeColor="text1"/>
          <w:sz w:val="22"/>
          <w:szCs w:val="22"/>
        </w:rPr>
        <w:t>recibieron y ejercieron recursos públicos o que fueron facultados para realizar actos de autoridad</w:t>
      </w:r>
      <w:r w:rsidR="005A08ED" w:rsidRPr="00EE7AE1">
        <w:rPr>
          <w:rFonts w:ascii="Arial" w:eastAsia="Arial" w:hAnsi="Arial" w:cs="Arial"/>
          <w:bCs/>
          <w:color w:val="000000" w:themeColor="text1"/>
          <w:sz w:val="22"/>
          <w:szCs w:val="22"/>
        </w:rPr>
        <w:t xml:space="preserve"> (ACUERDO ACT-PUB/</w:t>
      </w:r>
      <w:r w:rsidR="00B57B45" w:rsidRPr="00EE7AE1">
        <w:rPr>
          <w:rFonts w:ascii="Arial" w:eastAsia="Arial" w:hAnsi="Arial" w:cs="Arial"/>
          <w:bCs/>
          <w:color w:val="000000" w:themeColor="text1"/>
          <w:sz w:val="22"/>
          <w:szCs w:val="22"/>
        </w:rPr>
        <w:t>31</w:t>
      </w:r>
      <w:r w:rsidR="005A08ED" w:rsidRPr="00EE7AE1">
        <w:rPr>
          <w:rFonts w:ascii="Arial" w:eastAsia="Arial" w:hAnsi="Arial" w:cs="Arial"/>
          <w:bCs/>
          <w:color w:val="000000" w:themeColor="text1"/>
          <w:sz w:val="22"/>
          <w:szCs w:val="22"/>
        </w:rPr>
        <w:t>/0</w:t>
      </w:r>
      <w:r w:rsidR="00B57B45" w:rsidRPr="00EE7AE1">
        <w:rPr>
          <w:rFonts w:ascii="Arial" w:eastAsia="Arial" w:hAnsi="Arial" w:cs="Arial"/>
          <w:bCs/>
          <w:color w:val="000000" w:themeColor="text1"/>
          <w:sz w:val="22"/>
          <w:szCs w:val="22"/>
        </w:rPr>
        <w:t>3</w:t>
      </w:r>
      <w:r w:rsidR="005A08ED" w:rsidRPr="00EE7AE1">
        <w:rPr>
          <w:rFonts w:ascii="Arial" w:eastAsia="Arial" w:hAnsi="Arial" w:cs="Arial"/>
          <w:bCs/>
          <w:color w:val="000000" w:themeColor="text1"/>
          <w:sz w:val="22"/>
          <w:szCs w:val="22"/>
        </w:rPr>
        <w:t>/202</w:t>
      </w:r>
      <w:r w:rsidR="00B57B45" w:rsidRPr="00EE7AE1">
        <w:rPr>
          <w:rFonts w:ascii="Arial" w:eastAsia="Arial" w:hAnsi="Arial" w:cs="Arial"/>
          <w:bCs/>
          <w:color w:val="000000" w:themeColor="text1"/>
          <w:sz w:val="22"/>
          <w:szCs w:val="22"/>
        </w:rPr>
        <w:t>2</w:t>
      </w:r>
      <w:r w:rsidR="005A08ED" w:rsidRPr="00EE7AE1">
        <w:rPr>
          <w:rFonts w:ascii="Arial" w:eastAsia="Arial" w:hAnsi="Arial" w:cs="Arial"/>
          <w:bCs/>
          <w:color w:val="000000" w:themeColor="text1"/>
          <w:sz w:val="22"/>
          <w:szCs w:val="22"/>
        </w:rPr>
        <w:t>.</w:t>
      </w:r>
      <w:r w:rsidR="00B57B45" w:rsidRPr="00EE7AE1">
        <w:rPr>
          <w:rFonts w:ascii="Arial" w:eastAsia="Arial" w:hAnsi="Arial" w:cs="Arial"/>
          <w:bCs/>
          <w:color w:val="000000" w:themeColor="text1"/>
          <w:sz w:val="22"/>
          <w:szCs w:val="22"/>
        </w:rPr>
        <w:t>05</w:t>
      </w:r>
      <w:r w:rsidR="005A08ED" w:rsidRPr="00EE7AE1">
        <w:rPr>
          <w:rFonts w:ascii="Arial" w:eastAsia="Arial" w:hAnsi="Arial" w:cs="Arial"/>
          <w:bCs/>
          <w:color w:val="000000" w:themeColor="text1"/>
          <w:sz w:val="22"/>
          <w:szCs w:val="22"/>
        </w:rPr>
        <w:t>)</w:t>
      </w:r>
      <w:r w:rsidRPr="00EE7AE1">
        <w:rPr>
          <w:rFonts w:ascii="Arial" w:eastAsia="Arial" w:hAnsi="Arial" w:cs="Arial"/>
          <w:bCs/>
          <w:color w:val="000000" w:themeColor="text1"/>
          <w:sz w:val="22"/>
          <w:szCs w:val="22"/>
        </w:rPr>
        <w:t>, durante</w:t>
      </w:r>
      <w:r w:rsidRPr="00415785">
        <w:rPr>
          <w:rFonts w:ascii="Arial" w:eastAsia="Arial" w:hAnsi="Arial" w:cs="Arial"/>
          <w:bCs/>
          <w:color w:val="000000" w:themeColor="text1"/>
          <w:sz w:val="22"/>
          <w:szCs w:val="22"/>
        </w:rPr>
        <w:t xml:space="preserve"> el </w:t>
      </w:r>
      <w:r w:rsidR="005A08ED" w:rsidRPr="00415785">
        <w:rPr>
          <w:rFonts w:ascii="Arial" w:eastAsia="Arial" w:hAnsi="Arial" w:cs="Arial"/>
          <w:bCs/>
          <w:color w:val="000000" w:themeColor="text1"/>
          <w:sz w:val="22"/>
          <w:szCs w:val="22"/>
        </w:rPr>
        <w:t xml:space="preserve">ejercicio </w:t>
      </w:r>
      <w:r w:rsidR="005A08ED" w:rsidRPr="00EE7AE1">
        <w:rPr>
          <w:rFonts w:ascii="Arial" w:eastAsia="Arial" w:hAnsi="Arial" w:cs="Arial"/>
          <w:bCs/>
          <w:color w:val="000000" w:themeColor="text1"/>
          <w:sz w:val="22"/>
          <w:szCs w:val="22"/>
        </w:rPr>
        <w:t>fiscal 202</w:t>
      </w:r>
      <w:r w:rsidR="00B57B45" w:rsidRPr="00EE7AE1">
        <w:rPr>
          <w:rFonts w:ascii="Arial" w:eastAsia="Arial" w:hAnsi="Arial" w:cs="Arial"/>
          <w:bCs/>
          <w:color w:val="000000" w:themeColor="text1"/>
          <w:sz w:val="22"/>
          <w:szCs w:val="22"/>
        </w:rPr>
        <w:t>1</w:t>
      </w:r>
      <w:r w:rsidRPr="00EE7AE1">
        <w:rPr>
          <w:rFonts w:ascii="Arial" w:eastAsia="Arial" w:hAnsi="Arial" w:cs="Arial"/>
          <w:bCs/>
          <w:color w:val="000000" w:themeColor="text1"/>
          <w:sz w:val="22"/>
          <w:szCs w:val="22"/>
        </w:rPr>
        <w:t>, y</w:t>
      </w:r>
      <w:r w:rsidRPr="00415785">
        <w:rPr>
          <w:rFonts w:ascii="Arial" w:eastAsia="Arial" w:hAnsi="Arial" w:cs="Arial"/>
          <w:bCs/>
          <w:color w:val="000000" w:themeColor="text1"/>
          <w:sz w:val="22"/>
          <w:szCs w:val="22"/>
        </w:rPr>
        <w:t xml:space="preserve"> se determina la forma en que deberán cumplir con sus obligaciones de transparencia y acceso a la información, publicado en el DOF </w:t>
      </w:r>
      <w:r w:rsidRPr="00EE7AE1">
        <w:rPr>
          <w:rFonts w:ascii="Arial" w:eastAsia="Arial" w:hAnsi="Arial" w:cs="Arial"/>
          <w:bCs/>
          <w:color w:val="000000" w:themeColor="text1"/>
          <w:sz w:val="22"/>
          <w:szCs w:val="22"/>
        </w:rPr>
        <w:t>el</w:t>
      </w:r>
      <w:r w:rsidR="00B57B45" w:rsidRPr="00EE7AE1">
        <w:rPr>
          <w:rFonts w:ascii="Arial" w:eastAsia="Arial" w:hAnsi="Arial" w:cs="Arial"/>
          <w:bCs/>
          <w:color w:val="000000" w:themeColor="text1"/>
          <w:sz w:val="22"/>
          <w:szCs w:val="22"/>
        </w:rPr>
        <w:t xml:space="preserve"> veintiséis de abril de dos mil veintidós.</w:t>
      </w:r>
    </w:p>
    <w:p w14:paraId="1761246D" w14:textId="77777777" w:rsidR="00467F39" w:rsidRPr="0024302E" w:rsidRDefault="00467F39" w:rsidP="00DC0AF8">
      <w:pPr>
        <w:spacing w:line="276" w:lineRule="auto"/>
        <w:jc w:val="both"/>
        <w:rPr>
          <w:rFonts w:ascii="Arial" w:eastAsia="Arial" w:hAnsi="Arial" w:cs="Arial"/>
          <w:bCs/>
          <w:color w:val="000000" w:themeColor="text1"/>
          <w:sz w:val="22"/>
          <w:szCs w:val="22"/>
        </w:rPr>
      </w:pPr>
    </w:p>
    <w:p w14:paraId="51F40AF7" w14:textId="1208ACAD" w:rsidR="00F56791" w:rsidRDefault="00DC0AF8" w:rsidP="00F56791">
      <w:pPr>
        <w:spacing w:line="276" w:lineRule="auto"/>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lastRenderedPageBreak/>
        <w:t>7</w:t>
      </w:r>
      <w:r w:rsidRPr="00923728">
        <w:rPr>
          <w:rFonts w:ascii="Arial" w:eastAsia="Arial" w:hAnsi="Arial" w:cs="Arial"/>
          <w:b/>
          <w:bCs/>
          <w:color w:val="000000" w:themeColor="text1"/>
          <w:sz w:val="22"/>
          <w:szCs w:val="22"/>
        </w:rPr>
        <w:t>.</w:t>
      </w:r>
      <w:r>
        <w:rPr>
          <w:rFonts w:ascii="Arial" w:eastAsia="Arial" w:hAnsi="Arial" w:cs="Arial"/>
          <w:color w:val="000000" w:themeColor="text1"/>
          <w:sz w:val="22"/>
          <w:szCs w:val="22"/>
        </w:rPr>
        <w:t xml:space="preserve"> </w:t>
      </w:r>
      <w:r w:rsidRPr="00DC2D13">
        <w:rPr>
          <w:rFonts w:ascii="Arial" w:eastAsia="Arial" w:hAnsi="Arial" w:cs="Arial"/>
          <w:color w:val="000000" w:themeColor="text1"/>
          <w:sz w:val="22"/>
          <w:szCs w:val="22"/>
        </w:rPr>
        <w:t xml:space="preserve">De conformidad con el anexo XIV de los Lineamientos Técnicos Generales, con el fin de mantener actualizada la información y tener certeza de quiénes son las personas que están obligadas a cumplir con lo que establecen la Ley General y la Ley Federal, el procedimiento para determinar el Padrón de personas físicas y morales sujetas a cumplir con las obligaciones de transparencia y acceso a la información deberá llevarse a cabo anualmente y publicar el Acuerdo correspondiente entre los meses de febrero y marzo. </w:t>
      </w:r>
    </w:p>
    <w:p w14:paraId="71D515A7" w14:textId="16AC9956" w:rsidR="00F56791" w:rsidRDefault="00F56791" w:rsidP="00F56791">
      <w:pPr>
        <w:spacing w:line="276" w:lineRule="auto"/>
        <w:jc w:val="both"/>
        <w:rPr>
          <w:rFonts w:ascii="Arial" w:eastAsia="Arial" w:hAnsi="Arial" w:cs="Arial"/>
          <w:color w:val="000000" w:themeColor="text1"/>
          <w:sz w:val="22"/>
          <w:szCs w:val="22"/>
        </w:rPr>
      </w:pPr>
    </w:p>
    <w:p w14:paraId="768340D8" w14:textId="25FAEC8D" w:rsidR="00F56791" w:rsidRDefault="00F56791" w:rsidP="00F56791">
      <w:pPr>
        <w:spacing w:line="276" w:lineRule="auto"/>
        <w:jc w:val="both"/>
        <w:rPr>
          <w:rFonts w:ascii="Arial" w:eastAsia="Arial" w:hAnsi="Arial" w:cs="Arial"/>
          <w:color w:val="000000" w:themeColor="text1"/>
          <w:sz w:val="22"/>
          <w:szCs w:val="22"/>
        </w:rPr>
      </w:pPr>
      <w:r w:rsidRPr="00F56791">
        <w:rPr>
          <w:rFonts w:ascii="Arial" w:eastAsia="Arial" w:hAnsi="Arial" w:cs="Arial"/>
          <w:b/>
          <w:bCs/>
          <w:color w:val="000000" w:themeColor="text1"/>
          <w:sz w:val="22"/>
          <w:szCs w:val="22"/>
        </w:rPr>
        <w:t>8.</w:t>
      </w:r>
      <w:r>
        <w:rPr>
          <w:rFonts w:ascii="Arial" w:eastAsia="Arial" w:hAnsi="Arial" w:cs="Arial"/>
          <w:color w:val="000000" w:themeColor="text1"/>
          <w:sz w:val="22"/>
          <w:szCs w:val="22"/>
        </w:rPr>
        <w:t xml:space="preserve"> </w:t>
      </w:r>
      <w:r w:rsidRPr="00F56791">
        <w:rPr>
          <w:rFonts w:ascii="Arial" w:eastAsia="Arial" w:hAnsi="Arial" w:cs="Arial"/>
          <w:color w:val="000000" w:themeColor="text1"/>
          <w:sz w:val="22"/>
          <w:szCs w:val="22"/>
        </w:rPr>
        <w:t xml:space="preserve">Que </w:t>
      </w:r>
      <w:r w:rsidRPr="00EE7AE1">
        <w:rPr>
          <w:rFonts w:ascii="Arial" w:eastAsia="Arial" w:hAnsi="Arial" w:cs="Arial"/>
          <w:color w:val="000000" w:themeColor="text1"/>
          <w:sz w:val="22"/>
          <w:szCs w:val="22"/>
        </w:rPr>
        <w:t xml:space="preserve">de los </w:t>
      </w:r>
      <w:r w:rsidRPr="00E8332D">
        <w:rPr>
          <w:rFonts w:ascii="Arial" w:eastAsia="Arial" w:hAnsi="Arial" w:cs="Arial"/>
          <w:b/>
          <w:bCs/>
          <w:color w:val="000000" w:themeColor="text1"/>
          <w:sz w:val="22"/>
          <w:szCs w:val="22"/>
        </w:rPr>
        <w:t>792</w:t>
      </w:r>
      <w:r w:rsidRPr="00EE7AE1">
        <w:rPr>
          <w:rFonts w:ascii="Arial" w:eastAsia="Arial" w:hAnsi="Arial" w:cs="Arial"/>
          <w:color w:val="000000" w:themeColor="text1"/>
          <w:sz w:val="22"/>
          <w:szCs w:val="22"/>
        </w:rPr>
        <w:t xml:space="preserve"> (Setecientos noventa y dos) Sujetos</w:t>
      </w:r>
      <w:r w:rsidRPr="00F56791">
        <w:rPr>
          <w:rFonts w:ascii="Arial" w:eastAsia="Arial" w:hAnsi="Arial" w:cs="Arial"/>
          <w:color w:val="000000" w:themeColor="text1"/>
          <w:sz w:val="22"/>
          <w:szCs w:val="22"/>
        </w:rPr>
        <w:t xml:space="preserve"> Obligados que integran el Padrón de Sujetos Obligados del Ámbito Federal, </w:t>
      </w:r>
      <w:r w:rsidRPr="00EE7AE1">
        <w:rPr>
          <w:rFonts w:ascii="Arial" w:eastAsia="Arial" w:hAnsi="Arial" w:cs="Arial"/>
          <w:color w:val="000000" w:themeColor="text1"/>
          <w:sz w:val="22"/>
          <w:szCs w:val="22"/>
        </w:rPr>
        <w:t>a 494 (Cuatrocientos noventa y cuatro) no les</w:t>
      </w:r>
      <w:r w:rsidRPr="00F56791">
        <w:rPr>
          <w:rFonts w:ascii="Arial" w:eastAsia="Arial" w:hAnsi="Arial" w:cs="Arial"/>
          <w:color w:val="000000" w:themeColor="text1"/>
          <w:sz w:val="22"/>
          <w:szCs w:val="22"/>
        </w:rPr>
        <w:t xml:space="preserve"> corresponde cargar la Fracción XV y/o XVI del Articulo 70 de la Ley General de Transparencia y Acceso a la Información Pública en su tabla de aplicabilidad, por lo que se </w:t>
      </w:r>
      <w:r w:rsidRPr="00EE7AE1">
        <w:rPr>
          <w:rFonts w:ascii="Arial" w:eastAsia="Arial" w:hAnsi="Arial" w:cs="Arial"/>
          <w:color w:val="000000" w:themeColor="text1"/>
          <w:sz w:val="22"/>
          <w:szCs w:val="22"/>
        </w:rPr>
        <w:t>enviaron 298 (Doscientos noventa y ocho) requerimientos</w:t>
      </w:r>
      <w:r w:rsidRPr="00F56791">
        <w:rPr>
          <w:rFonts w:ascii="Arial" w:eastAsia="Arial" w:hAnsi="Arial" w:cs="Arial"/>
          <w:color w:val="000000" w:themeColor="text1"/>
          <w:sz w:val="22"/>
          <w:szCs w:val="22"/>
        </w:rPr>
        <w:t xml:space="preserve"> a los Sujetos Obligados</w:t>
      </w:r>
      <w:r w:rsidR="00766A88">
        <w:rPr>
          <w:rFonts w:ascii="Arial" w:eastAsia="Arial" w:hAnsi="Arial" w:cs="Arial"/>
          <w:color w:val="000000" w:themeColor="text1"/>
          <w:sz w:val="22"/>
          <w:szCs w:val="22"/>
        </w:rPr>
        <w:t>.</w:t>
      </w:r>
    </w:p>
    <w:p w14:paraId="5F7E7984" w14:textId="77777777" w:rsidR="00F56791" w:rsidRDefault="00F56791" w:rsidP="00F56791">
      <w:pPr>
        <w:spacing w:line="276" w:lineRule="auto"/>
        <w:jc w:val="both"/>
        <w:rPr>
          <w:rFonts w:ascii="Arial" w:eastAsia="Arial" w:hAnsi="Arial" w:cs="Arial"/>
          <w:color w:val="000000" w:themeColor="text1"/>
          <w:sz w:val="22"/>
          <w:szCs w:val="22"/>
        </w:rPr>
      </w:pPr>
    </w:p>
    <w:p w14:paraId="092764DE" w14:textId="4AA2CD89" w:rsidR="00835781" w:rsidRDefault="00F56791" w:rsidP="00F56791">
      <w:pPr>
        <w:spacing w:line="276" w:lineRule="auto"/>
        <w:jc w:val="both"/>
        <w:rPr>
          <w:rFonts w:ascii="Arial" w:eastAsia="Arial" w:hAnsi="Arial" w:cs="Arial"/>
          <w:color w:val="000000" w:themeColor="text1"/>
          <w:sz w:val="22"/>
          <w:szCs w:val="22"/>
        </w:rPr>
      </w:pPr>
      <w:r>
        <w:rPr>
          <w:rFonts w:ascii="Arial" w:eastAsia="Arial" w:hAnsi="Arial" w:cs="Arial"/>
          <w:b/>
          <w:color w:val="000000" w:themeColor="text1"/>
          <w:sz w:val="22"/>
          <w:szCs w:val="22"/>
        </w:rPr>
        <w:t>9</w:t>
      </w:r>
      <w:r w:rsidR="00DC0AF8" w:rsidRPr="00415785">
        <w:rPr>
          <w:rFonts w:ascii="Arial" w:eastAsia="Arial" w:hAnsi="Arial" w:cs="Arial"/>
          <w:b/>
          <w:color w:val="000000" w:themeColor="text1"/>
          <w:sz w:val="22"/>
          <w:szCs w:val="22"/>
        </w:rPr>
        <w:t>.</w:t>
      </w:r>
      <w:r w:rsidR="00DC0AF8" w:rsidRPr="00415785">
        <w:rPr>
          <w:rFonts w:ascii="Arial" w:eastAsia="Arial" w:hAnsi="Arial" w:cs="Arial"/>
          <w:color w:val="000000" w:themeColor="text1"/>
          <w:sz w:val="22"/>
          <w:szCs w:val="22"/>
        </w:rPr>
        <w:t xml:space="preserve"> </w:t>
      </w:r>
      <w:r w:rsidR="00DC0AF8" w:rsidRPr="00EE7AE1">
        <w:rPr>
          <w:rFonts w:ascii="Arial" w:eastAsia="Arial" w:hAnsi="Arial" w:cs="Arial"/>
          <w:color w:val="000000" w:themeColor="text1"/>
          <w:sz w:val="22"/>
          <w:szCs w:val="22"/>
        </w:rPr>
        <w:t xml:space="preserve">El </w:t>
      </w:r>
      <w:r w:rsidR="005C1E67" w:rsidRPr="00EE7AE1">
        <w:rPr>
          <w:rFonts w:ascii="Arial" w:eastAsia="Arial" w:hAnsi="Arial" w:cs="Arial"/>
          <w:color w:val="000000" w:themeColor="text1"/>
          <w:sz w:val="22"/>
          <w:szCs w:val="22"/>
        </w:rPr>
        <w:t>veinte</w:t>
      </w:r>
      <w:r w:rsidR="00DC0AF8" w:rsidRPr="00EE7AE1">
        <w:rPr>
          <w:rFonts w:ascii="Arial" w:eastAsia="Arial" w:hAnsi="Arial" w:cs="Arial"/>
          <w:color w:val="000000" w:themeColor="text1"/>
          <w:sz w:val="22"/>
          <w:szCs w:val="22"/>
        </w:rPr>
        <w:t xml:space="preserve"> </w:t>
      </w:r>
      <w:r w:rsidR="002452C9" w:rsidRPr="00EE7AE1">
        <w:rPr>
          <w:rFonts w:ascii="Arial" w:eastAsia="Arial" w:hAnsi="Arial" w:cs="Arial"/>
          <w:color w:val="000000" w:themeColor="text1"/>
          <w:sz w:val="22"/>
          <w:szCs w:val="22"/>
        </w:rPr>
        <w:t>de diciembre</w:t>
      </w:r>
      <w:r w:rsidR="00DC0AF8" w:rsidRPr="00EE7AE1">
        <w:rPr>
          <w:rFonts w:ascii="Arial" w:eastAsia="Arial" w:hAnsi="Arial" w:cs="Arial"/>
          <w:color w:val="000000" w:themeColor="text1"/>
          <w:sz w:val="22"/>
          <w:szCs w:val="22"/>
        </w:rPr>
        <w:t xml:space="preserve"> de dos mil </w:t>
      </w:r>
      <w:r w:rsidR="00B57B45" w:rsidRPr="00EE7AE1">
        <w:rPr>
          <w:rFonts w:ascii="Arial" w:eastAsia="Arial" w:hAnsi="Arial" w:cs="Arial"/>
          <w:color w:val="000000" w:themeColor="text1"/>
          <w:sz w:val="22"/>
          <w:szCs w:val="22"/>
        </w:rPr>
        <w:t>veintidós</w:t>
      </w:r>
      <w:r w:rsidR="00DC0AF8" w:rsidRPr="00EE7AE1">
        <w:rPr>
          <w:rFonts w:ascii="Arial" w:eastAsia="Arial" w:hAnsi="Arial" w:cs="Arial"/>
          <w:color w:val="000000" w:themeColor="text1"/>
          <w:sz w:val="22"/>
          <w:szCs w:val="22"/>
        </w:rPr>
        <w:t>, la</w:t>
      </w:r>
      <w:r w:rsidR="00DC0AF8" w:rsidRPr="00415785">
        <w:rPr>
          <w:rFonts w:ascii="Arial" w:eastAsia="Arial" w:hAnsi="Arial" w:cs="Arial"/>
          <w:color w:val="000000" w:themeColor="text1"/>
          <w:sz w:val="22"/>
          <w:szCs w:val="22"/>
        </w:rPr>
        <w:t xml:space="preserve"> Dirección General de Enlace con Autoridades Laborales, Sindicatos, Universidades, Personas Físicas y Morales, mediante </w:t>
      </w:r>
      <w:r w:rsidR="00DC0AF8" w:rsidRPr="00EE7AE1">
        <w:rPr>
          <w:rFonts w:ascii="Arial" w:eastAsia="Arial" w:hAnsi="Arial" w:cs="Arial"/>
          <w:color w:val="000000" w:themeColor="text1"/>
          <w:sz w:val="22"/>
          <w:szCs w:val="22"/>
        </w:rPr>
        <w:t>oficio INAI/SAI/DGEALSUPFM/</w:t>
      </w:r>
      <w:r w:rsidR="00802615" w:rsidRPr="00EE7AE1">
        <w:rPr>
          <w:rFonts w:ascii="Arial" w:eastAsia="Arial" w:hAnsi="Arial" w:cs="Arial"/>
          <w:color w:val="000000" w:themeColor="text1"/>
          <w:sz w:val="22"/>
          <w:szCs w:val="22"/>
        </w:rPr>
        <w:t>1</w:t>
      </w:r>
      <w:r w:rsidR="002452C9" w:rsidRPr="00EE7AE1">
        <w:rPr>
          <w:rFonts w:ascii="Arial" w:eastAsia="Arial" w:hAnsi="Arial" w:cs="Arial"/>
          <w:color w:val="000000" w:themeColor="text1"/>
          <w:sz w:val="22"/>
          <w:szCs w:val="22"/>
        </w:rPr>
        <w:t>4</w:t>
      </w:r>
      <w:r w:rsidR="00B57B45" w:rsidRPr="00EE7AE1">
        <w:rPr>
          <w:rFonts w:ascii="Arial" w:eastAsia="Arial" w:hAnsi="Arial" w:cs="Arial"/>
          <w:color w:val="000000" w:themeColor="text1"/>
          <w:sz w:val="22"/>
          <w:szCs w:val="22"/>
        </w:rPr>
        <w:t>50</w:t>
      </w:r>
      <w:r w:rsidR="00802615" w:rsidRPr="00EE7AE1">
        <w:rPr>
          <w:rFonts w:ascii="Arial" w:eastAsia="Arial" w:hAnsi="Arial" w:cs="Arial"/>
          <w:color w:val="000000" w:themeColor="text1"/>
          <w:sz w:val="22"/>
          <w:szCs w:val="22"/>
        </w:rPr>
        <w:t>/202</w:t>
      </w:r>
      <w:r w:rsidR="00B57B45" w:rsidRPr="00EE7AE1">
        <w:rPr>
          <w:rFonts w:ascii="Arial" w:eastAsia="Arial" w:hAnsi="Arial" w:cs="Arial"/>
          <w:color w:val="000000" w:themeColor="text1"/>
          <w:sz w:val="22"/>
          <w:szCs w:val="22"/>
        </w:rPr>
        <w:t>2</w:t>
      </w:r>
      <w:r w:rsidR="00DC0AF8" w:rsidRPr="00EE7AE1">
        <w:rPr>
          <w:rFonts w:ascii="Arial" w:eastAsia="Arial" w:hAnsi="Arial" w:cs="Arial"/>
          <w:color w:val="000000" w:themeColor="text1"/>
          <w:sz w:val="22"/>
          <w:szCs w:val="22"/>
        </w:rPr>
        <w:t>,</w:t>
      </w:r>
      <w:r w:rsidR="00DC0AF8" w:rsidRPr="00415785">
        <w:rPr>
          <w:rFonts w:ascii="Arial" w:eastAsia="Arial" w:hAnsi="Arial" w:cs="Arial"/>
          <w:color w:val="000000" w:themeColor="text1"/>
          <w:sz w:val="22"/>
          <w:szCs w:val="22"/>
        </w:rPr>
        <w:t xml:space="preserve"> solicitó a </w:t>
      </w:r>
      <w:r>
        <w:rPr>
          <w:rFonts w:ascii="Arial" w:eastAsia="Arial" w:hAnsi="Arial" w:cs="Arial"/>
          <w:b/>
          <w:bCs/>
          <w:color w:val="000000" w:themeColor="text1"/>
          <w:sz w:val="22"/>
          <w:szCs w:val="22"/>
        </w:rPr>
        <w:t>298</w:t>
      </w:r>
      <w:r w:rsidR="00DC0AF8" w:rsidRPr="00415785">
        <w:rPr>
          <w:rFonts w:ascii="Arial" w:eastAsia="Arial" w:hAnsi="Arial" w:cs="Arial"/>
          <w:color w:val="000000" w:themeColor="text1"/>
          <w:sz w:val="22"/>
          <w:szCs w:val="22"/>
        </w:rPr>
        <w:t xml:space="preserve"> </w:t>
      </w:r>
      <w:r w:rsidR="00DD2201" w:rsidRPr="00415785">
        <w:rPr>
          <w:rFonts w:ascii="Arial" w:eastAsia="Arial" w:hAnsi="Arial" w:cs="Arial"/>
          <w:color w:val="000000" w:themeColor="text1"/>
          <w:sz w:val="22"/>
          <w:szCs w:val="22"/>
        </w:rPr>
        <w:t>S</w:t>
      </w:r>
      <w:r w:rsidR="00DC0AF8" w:rsidRPr="00415785">
        <w:rPr>
          <w:rFonts w:ascii="Arial" w:eastAsia="Arial" w:hAnsi="Arial" w:cs="Arial"/>
          <w:color w:val="000000" w:themeColor="text1"/>
          <w:sz w:val="22"/>
          <w:szCs w:val="22"/>
        </w:rPr>
        <w:t>ujetos obligados</w:t>
      </w:r>
      <w:r w:rsidR="000834FD">
        <w:rPr>
          <w:rFonts w:ascii="Arial" w:eastAsia="Arial" w:hAnsi="Arial" w:cs="Arial"/>
          <w:color w:val="000000" w:themeColor="text1"/>
          <w:sz w:val="22"/>
          <w:szCs w:val="22"/>
        </w:rPr>
        <w:t xml:space="preserve"> </w:t>
      </w:r>
      <w:r w:rsidR="00DC0AF8" w:rsidRPr="00415785">
        <w:rPr>
          <w:rFonts w:ascii="Arial" w:eastAsia="Arial" w:hAnsi="Arial" w:cs="Arial"/>
          <w:color w:val="000000" w:themeColor="text1"/>
          <w:sz w:val="22"/>
          <w:szCs w:val="22"/>
        </w:rPr>
        <w:t>del</w:t>
      </w:r>
      <w:r w:rsidR="00DC0AF8" w:rsidRPr="00184D80">
        <w:rPr>
          <w:rFonts w:ascii="Arial" w:eastAsia="Arial" w:hAnsi="Arial" w:cs="Arial"/>
          <w:color w:val="000000" w:themeColor="text1"/>
          <w:sz w:val="22"/>
          <w:szCs w:val="22"/>
        </w:rPr>
        <w:t xml:space="preserve"> ámbito federal</w:t>
      </w:r>
      <w:r w:rsidR="002666D1">
        <w:rPr>
          <w:rFonts w:ascii="Arial" w:eastAsia="Arial" w:hAnsi="Arial" w:cs="Arial"/>
          <w:color w:val="000000" w:themeColor="text1"/>
          <w:sz w:val="22"/>
          <w:szCs w:val="22"/>
        </w:rPr>
        <w:t xml:space="preserve"> (a </w:t>
      </w:r>
      <w:r w:rsidR="002666D1" w:rsidRPr="002666D1">
        <w:rPr>
          <w:rFonts w:ascii="Arial" w:eastAsia="Arial" w:hAnsi="Arial" w:cs="Arial"/>
          <w:color w:val="000000" w:themeColor="text1"/>
          <w:sz w:val="22"/>
          <w:szCs w:val="22"/>
          <w:lang w:val="es-MX"/>
        </w:rPr>
        <w:t xml:space="preserve">281 </w:t>
      </w:r>
      <w:r w:rsidR="002666D1">
        <w:rPr>
          <w:rFonts w:ascii="Arial" w:eastAsia="Arial" w:hAnsi="Arial" w:cs="Arial"/>
          <w:color w:val="000000" w:themeColor="text1"/>
          <w:sz w:val="22"/>
          <w:szCs w:val="22"/>
          <w:lang w:val="es-MX"/>
        </w:rPr>
        <w:t xml:space="preserve">que </w:t>
      </w:r>
      <w:r w:rsidR="002666D1" w:rsidRPr="002666D1">
        <w:rPr>
          <w:rFonts w:ascii="Arial" w:eastAsia="Arial" w:hAnsi="Arial" w:cs="Arial"/>
          <w:color w:val="000000" w:themeColor="text1"/>
          <w:sz w:val="22"/>
          <w:szCs w:val="22"/>
          <w:lang w:val="es-MX"/>
        </w:rPr>
        <w:t xml:space="preserve">les corresponde cargar la Fracción XV y XXVI del Articulo 70 de la Ley General de Transparencia y Acceso a la Información Pública en su tabla de aplicabilidad, y a 17 más </w:t>
      </w:r>
      <w:r w:rsidR="002666D1">
        <w:rPr>
          <w:rFonts w:ascii="Arial" w:eastAsia="Arial" w:hAnsi="Arial" w:cs="Arial"/>
          <w:color w:val="000000" w:themeColor="text1"/>
          <w:sz w:val="22"/>
          <w:szCs w:val="22"/>
          <w:lang w:val="es-MX"/>
        </w:rPr>
        <w:t xml:space="preserve">que </w:t>
      </w:r>
      <w:r w:rsidR="002666D1" w:rsidRPr="002666D1">
        <w:rPr>
          <w:rFonts w:ascii="Arial" w:eastAsia="Arial" w:hAnsi="Arial" w:cs="Arial"/>
          <w:color w:val="000000" w:themeColor="text1"/>
          <w:sz w:val="22"/>
          <w:szCs w:val="22"/>
          <w:lang w:val="es-MX"/>
        </w:rPr>
        <w:t>s</w:t>
      </w:r>
      <w:r w:rsidR="002666D1">
        <w:rPr>
          <w:rFonts w:ascii="Arial" w:eastAsia="Arial" w:hAnsi="Arial" w:cs="Arial"/>
          <w:color w:val="000000" w:themeColor="text1"/>
          <w:sz w:val="22"/>
          <w:szCs w:val="22"/>
          <w:lang w:val="es-MX"/>
        </w:rPr>
        <w:t>ó</w:t>
      </w:r>
      <w:r w:rsidR="002666D1" w:rsidRPr="002666D1">
        <w:rPr>
          <w:rFonts w:ascii="Arial" w:eastAsia="Arial" w:hAnsi="Arial" w:cs="Arial"/>
          <w:color w:val="000000" w:themeColor="text1"/>
          <w:sz w:val="22"/>
          <w:szCs w:val="22"/>
          <w:lang w:val="es-MX"/>
        </w:rPr>
        <w:t>lo les corresponde cargar la fracción XXVI</w:t>
      </w:r>
      <w:r w:rsidR="002666D1">
        <w:rPr>
          <w:rFonts w:ascii="Arial" w:eastAsia="Arial" w:hAnsi="Arial" w:cs="Arial"/>
          <w:color w:val="000000" w:themeColor="text1"/>
          <w:sz w:val="22"/>
          <w:szCs w:val="22"/>
          <w:lang w:val="es-MX"/>
        </w:rPr>
        <w:t>)</w:t>
      </w:r>
      <w:r w:rsidR="00DC0AF8" w:rsidRPr="00184D80">
        <w:rPr>
          <w:rFonts w:ascii="Arial" w:eastAsia="Arial" w:hAnsi="Arial" w:cs="Arial"/>
          <w:color w:val="000000" w:themeColor="text1"/>
          <w:sz w:val="22"/>
          <w:szCs w:val="22"/>
        </w:rPr>
        <w:t xml:space="preserve">, a través de sus respectivas Unidades de Transparencia, remitir a este Instituto el listado de las personas físicas o morales a las que, por cualquier motivo, asignaron recursos públicos federales o, en términos de las disposiciones aplicables, </w:t>
      </w:r>
      <w:r w:rsidR="00DC0AF8" w:rsidRPr="00B87A0B">
        <w:rPr>
          <w:rFonts w:ascii="Arial" w:eastAsia="Arial" w:hAnsi="Arial" w:cs="Arial"/>
          <w:color w:val="000000" w:themeColor="text1"/>
          <w:sz w:val="22"/>
          <w:szCs w:val="22"/>
        </w:rPr>
        <w:t xml:space="preserve">encomendaron actos de autoridad durante </w:t>
      </w:r>
      <w:r w:rsidR="00DC0AF8" w:rsidRPr="00415785">
        <w:rPr>
          <w:rFonts w:ascii="Arial" w:eastAsia="Arial" w:hAnsi="Arial" w:cs="Arial"/>
          <w:color w:val="000000" w:themeColor="text1"/>
          <w:sz w:val="22"/>
          <w:szCs w:val="22"/>
        </w:rPr>
        <w:t xml:space="preserve">el ejercicio </w:t>
      </w:r>
      <w:r w:rsidR="00DC0AF8" w:rsidRPr="00EE7AE1">
        <w:rPr>
          <w:rFonts w:ascii="Arial" w:eastAsia="Arial" w:hAnsi="Arial" w:cs="Arial"/>
          <w:color w:val="000000" w:themeColor="text1"/>
          <w:sz w:val="22"/>
          <w:szCs w:val="22"/>
        </w:rPr>
        <w:t xml:space="preserve">fiscal </w:t>
      </w:r>
      <w:r w:rsidR="002452C9" w:rsidRPr="00EE7AE1">
        <w:rPr>
          <w:rFonts w:ascii="Arial" w:eastAsia="Arial" w:hAnsi="Arial" w:cs="Arial"/>
          <w:color w:val="000000" w:themeColor="text1"/>
          <w:sz w:val="22"/>
          <w:szCs w:val="22"/>
        </w:rPr>
        <w:t>202</w:t>
      </w:r>
      <w:r w:rsidR="000834FD" w:rsidRPr="00EE7AE1">
        <w:rPr>
          <w:rFonts w:ascii="Arial" w:eastAsia="Arial" w:hAnsi="Arial" w:cs="Arial"/>
          <w:color w:val="000000" w:themeColor="text1"/>
          <w:sz w:val="22"/>
          <w:szCs w:val="22"/>
        </w:rPr>
        <w:t>2</w:t>
      </w:r>
      <w:r w:rsidR="00835781" w:rsidRPr="00EE7AE1">
        <w:rPr>
          <w:rFonts w:ascii="Arial" w:eastAsia="Arial" w:hAnsi="Arial" w:cs="Arial"/>
          <w:color w:val="000000" w:themeColor="text1"/>
          <w:sz w:val="22"/>
          <w:szCs w:val="22"/>
        </w:rPr>
        <w:t>.</w:t>
      </w:r>
      <w:r w:rsidR="00835781" w:rsidRPr="00B87A0B">
        <w:rPr>
          <w:rFonts w:ascii="Arial" w:eastAsia="Arial" w:hAnsi="Arial" w:cs="Arial"/>
          <w:color w:val="000000" w:themeColor="text1"/>
          <w:sz w:val="22"/>
          <w:szCs w:val="22"/>
        </w:rPr>
        <w:t xml:space="preserve"> Asimismo</w:t>
      </w:r>
      <w:r w:rsidR="00835781" w:rsidRPr="00415785">
        <w:rPr>
          <w:rFonts w:ascii="Arial" w:eastAsia="Arial" w:hAnsi="Arial" w:cs="Arial"/>
          <w:color w:val="000000" w:themeColor="text1"/>
          <w:sz w:val="22"/>
          <w:szCs w:val="22"/>
        </w:rPr>
        <w:t xml:space="preserve">, </w:t>
      </w:r>
      <w:r w:rsidR="00062800">
        <w:rPr>
          <w:rFonts w:ascii="Arial" w:eastAsia="Arial" w:hAnsi="Arial" w:cs="Arial"/>
          <w:color w:val="000000" w:themeColor="text1"/>
          <w:sz w:val="22"/>
          <w:szCs w:val="22"/>
        </w:rPr>
        <w:t xml:space="preserve">se </w:t>
      </w:r>
      <w:r w:rsidR="00062800" w:rsidRPr="00EE7AE1">
        <w:rPr>
          <w:rFonts w:ascii="Arial" w:eastAsia="Arial" w:hAnsi="Arial" w:cs="Arial"/>
          <w:color w:val="000000" w:themeColor="text1"/>
          <w:sz w:val="22"/>
          <w:szCs w:val="22"/>
        </w:rPr>
        <w:t xml:space="preserve">recibieron </w:t>
      </w:r>
      <w:r w:rsidR="00062800" w:rsidRPr="00EE7AE1">
        <w:rPr>
          <w:rFonts w:ascii="Arial" w:eastAsia="Arial" w:hAnsi="Arial" w:cs="Arial"/>
          <w:b/>
          <w:bCs/>
          <w:color w:val="000000" w:themeColor="text1"/>
          <w:sz w:val="22"/>
          <w:szCs w:val="22"/>
        </w:rPr>
        <w:t>27</w:t>
      </w:r>
      <w:r w:rsidRPr="00EE7AE1">
        <w:rPr>
          <w:rFonts w:ascii="Arial" w:eastAsia="Arial" w:hAnsi="Arial" w:cs="Arial"/>
          <w:b/>
          <w:bCs/>
          <w:color w:val="000000" w:themeColor="text1"/>
          <w:sz w:val="22"/>
          <w:szCs w:val="22"/>
        </w:rPr>
        <w:t>6</w:t>
      </w:r>
      <w:r w:rsidR="00062800" w:rsidRPr="00EE7AE1">
        <w:rPr>
          <w:rFonts w:ascii="Arial" w:eastAsia="Arial" w:hAnsi="Arial" w:cs="Arial"/>
          <w:color w:val="000000" w:themeColor="text1"/>
          <w:sz w:val="22"/>
          <w:szCs w:val="22"/>
        </w:rPr>
        <w:t xml:space="preserve"> respuestas del requerimiento y </w:t>
      </w:r>
      <w:r w:rsidR="00835781" w:rsidRPr="00EE7AE1">
        <w:rPr>
          <w:rFonts w:ascii="Arial" w:eastAsia="Arial" w:hAnsi="Arial" w:cs="Arial"/>
          <w:color w:val="000000" w:themeColor="text1"/>
          <w:sz w:val="22"/>
          <w:szCs w:val="22"/>
        </w:rPr>
        <w:t xml:space="preserve">en </w:t>
      </w:r>
      <w:r w:rsidR="00062800" w:rsidRPr="00EE7AE1">
        <w:rPr>
          <w:rFonts w:ascii="Arial" w:eastAsia="Arial" w:hAnsi="Arial" w:cs="Arial"/>
          <w:b/>
          <w:color w:val="000000" w:themeColor="text1"/>
          <w:sz w:val="22"/>
          <w:szCs w:val="22"/>
        </w:rPr>
        <w:t>22</w:t>
      </w:r>
      <w:r w:rsidR="00DD2201" w:rsidRPr="00EE7AE1">
        <w:rPr>
          <w:rFonts w:ascii="Arial" w:eastAsia="Arial" w:hAnsi="Arial" w:cs="Arial"/>
          <w:color w:val="000000" w:themeColor="text1"/>
          <w:sz w:val="22"/>
          <w:szCs w:val="22"/>
        </w:rPr>
        <w:t xml:space="preserve"> </w:t>
      </w:r>
      <w:r w:rsidR="00835781" w:rsidRPr="00EE7AE1">
        <w:rPr>
          <w:rFonts w:ascii="Arial" w:eastAsia="Arial" w:hAnsi="Arial" w:cs="Arial"/>
          <w:color w:val="000000" w:themeColor="text1"/>
          <w:sz w:val="22"/>
          <w:szCs w:val="22"/>
        </w:rPr>
        <w:t xml:space="preserve">casos, </w:t>
      </w:r>
      <w:bookmarkStart w:id="0" w:name="_Hlk67334740"/>
      <w:r w:rsidR="00835781" w:rsidRPr="00EE7AE1">
        <w:rPr>
          <w:rFonts w:ascii="Arial" w:eastAsia="Arial" w:hAnsi="Arial" w:cs="Arial"/>
          <w:color w:val="000000" w:themeColor="text1"/>
          <w:sz w:val="22"/>
          <w:szCs w:val="22"/>
        </w:rPr>
        <w:t>se</w:t>
      </w:r>
      <w:r w:rsidR="00835781" w:rsidRPr="00415785">
        <w:rPr>
          <w:rFonts w:ascii="Arial" w:eastAsia="Arial" w:hAnsi="Arial" w:cs="Arial"/>
          <w:color w:val="000000" w:themeColor="text1"/>
          <w:sz w:val="22"/>
          <w:szCs w:val="22"/>
        </w:rPr>
        <w:t xml:space="preserve"> </w:t>
      </w:r>
      <w:r w:rsidR="00A76999" w:rsidRPr="00415785">
        <w:rPr>
          <w:rFonts w:ascii="Arial" w:eastAsia="Arial" w:hAnsi="Arial" w:cs="Arial"/>
          <w:color w:val="000000" w:themeColor="text1"/>
          <w:sz w:val="22"/>
          <w:szCs w:val="22"/>
        </w:rPr>
        <w:t>revisó</w:t>
      </w:r>
      <w:r w:rsidR="00835781" w:rsidRPr="00415785">
        <w:rPr>
          <w:rFonts w:ascii="Arial" w:eastAsia="Arial" w:hAnsi="Arial" w:cs="Arial"/>
          <w:color w:val="000000" w:themeColor="text1"/>
          <w:sz w:val="22"/>
          <w:szCs w:val="22"/>
        </w:rPr>
        <w:t xml:space="preserve"> la información </w:t>
      </w:r>
      <w:r w:rsidR="00F418D7" w:rsidRPr="00415785">
        <w:rPr>
          <w:rFonts w:ascii="Arial" w:eastAsia="Arial" w:hAnsi="Arial" w:cs="Arial"/>
          <w:color w:val="000000" w:themeColor="text1"/>
          <w:sz w:val="22"/>
          <w:szCs w:val="22"/>
        </w:rPr>
        <w:t>existente</w:t>
      </w:r>
      <w:r w:rsidR="00835781" w:rsidRPr="00415785">
        <w:rPr>
          <w:rFonts w:ascii="Arial" w:eastAsia="Arial" w:hAnsi="Arial" w:cs="Arial"/>
          <w:color w:val="000000" w:themeColor="text1"/>
          <w:sz w:val="22"/>
          <w:szCs w:val="22"/>
        </w:rPr>
        <w:t xml:space="preserve"> en el Sistema de Portales de Obligaciones de Transparencia</w:t>
      </w:r>
      <w:r w:rsidR="00F418D7" w:rsidRPr="00415785">
        <w:rPr>
          <w:rFonts w:ascii="Arial" w:eastAsia="Arial" w:hAnsi="Arial" w:cs="Arial"/>
          <w:color w:val="000000" w:themeColor="text1"/>
          <w:sz w:val="22"/>
          <w:szCs w:val="22"/>
        </w:rPr>
        <w:t xml:space="preserve"> (SIPOT)</w:t>
      </w:r>
      <w:r w:rsidR="00835781" w:rsidRPr="00415785">
        <w:rPr>
          <w:rFonts w:ascii="Arial" w:eastAsia="Arial" w:hAnsi="Arial" w:cs="Arial"/>
          <w:color w:val="000000" w:themeColor="text1"/>
          <w:sz w:val="22"/>
          <w:szCs w:val="22"/>
        </w:rPr>
        <w:t xml:space="preserve"> de la Plataforma Nacional de Transparencia, en las fracciones XV y/o XXVI del artículo 70 de la Ley General</w:t>
      </w:r>
      <w:bookmarkEnd w:id="0"/>
      <w:r w:rsidR="00835781" w:rsidRPr="00415785">
        <w:rPr>
          <w:rFonts w:ascii="Arial" w:eastAsia="Arial" w:hAnsi="Arial" w:cs="Arial"/>
          <w:color w:val="000000" w:themeColor="text1"/>
          <w:sz w:val="22"/>
          <w:szCs w:val="22"/>
        </w:rPr>
        <w:t>.</w:t>
      </w:r>
      <w:r w:rsidR="00835781">
        <w:rPr>
          <w:rFonts w:ascii="Arial" w:eastAsia="Arial" w:hAnsi="Arial" w:cs="Arial"/>
          <w:color w:val="000000" w:themeColor="text1"/>
          <w:sz w:val="22"/>
          <w:szCs w:val="22"/>
        </w:rPr>
        <w:t xml:space="preserve"> </w:t>
      </w:r>
    </w:p>
    <w:p w14:paraId="74509773" w14:textId="77777777" w:rsidR="00DC0AF8" w:rsidRPr="00A76999" w:rsidRDefault="00DC0AF8" w:rsidP="00DC0AF8">
      <w:pPr>
        <w:widowControl w:val="0"/>
        <w:spacing w:line="276" w:lineRule="auto"/>
        <w:jc w:val="both"/>
        <w:rPr>
          <w:rFonts w:ascii="Arial" w:eastAsia="Arial" w:hAnsi="Arial" w:cs="Arial"/>
          <w:color w:val="000000" w:themeColor="text1"/>
          <w:sz w:val="22"/>
          <w:szCs w:val="22"/>
        </w:rPr>
      </w:pPr>
    </w:p>
    <w:p w14:paraId="0FD70490" w14:textId="77777777" w:rsidR="00DC0AF8" w:rsidRPr="009D50FF" w:rsidRDefault="00DC0AF8" w:rsidP="00DC0AF8">
      <w:pPr>
        <w:autoSpaceDE w:val="0"/>
        <w:autoSpaceDN w:val="0"/>
        <w:spacing w:line="276" w:lineRule="auto"/>
        <w:jc w:val="both"/>
        <w:rPr>
          <w:rFonts w:ascii="Arial" w:eastAsia="Arial" w:hAnsi="Arial" w:cs="Arial"/>
          <w:color w:val="000000" w:themeColor="text1"/>
          <w:sz w:val="22"/>
          <w:szCs w:val="22"/>
        </w:rPr>
      </w:pPr>
    </w:p>
    <w:p w14:paraId="35ACB2F4" w14:textId="07E37273" w:rsidR="00427E48" w:rsidRPr="00427E48" w:rsidRDefault="00DC0AF8" w:rsidP="00427E48">
      <w:pPr>
        <w:autoSpaceDE w:val="0"/>
        <w:autoSpaceDN w:val="0"/>
        <w:spacing w:line="276" w:lineRule="auto"/>
        <w:jc w:val="both"/>
        <w:rPr>
          <w:rFonts w:ascii="Arial" w:eastAsia="Arial" w:hAnsi="Arial" w:cs="Arial"/>
          <w:color w:val="000000" w:themeColor="text1"/>
          <w:sz w:val="22"/>
          <w:szCs w:val="22"/>
        </w:rPr>
      </w:pPr>
      <w:r w:rsidRPr="00F56791">
        <w:rPr>
          <w:rFonts w:ascii="Arial" w:eastAsia="Arial" w:hAnsi="Arial" w:cs="Arial"/>
          <w:b/>
          <w:bCs/>
          <w:color w:val="000000" w:themeColor="text1"/>
          <w:sz w:val="22"/>
          <w:szCs w:val="22"/>
        </w:rPr>
        <w:t>1</w:t>
      </w:r>
      <w:r w:rsidR="00F56791" w:rsidRPr="00F56791">
        <w:rPr>
          <w:rFonts w:ascii="Arial" w:eastAsia="Arial" w:hAnsi="Arial" w:cs="Arial"/>
          <w:b/>
          <w:bCs/>
          <w:color w:val="000000" w:themeColor="text1"/>
          <w:sz w:val="22"/>
          <w:szCs w:val="22"/>
        </w:rPr>
        <w:t>1</w:t>
      </w:r>
      <w:r w:rsidRPr="00F56791">
        <w:rPr>
          <w:rFonts w:ascii="Arial" w:eastAsia="Arial" w:hAnsi="Arial" w:cs="Arial"/>
          <w:b/>
          <w:bCs/>
          <w:color w:val="000000" w:themeColor="text1"/>
          <w:sz w:val="22"/>
          <w:szCs w:val="22"/>
        </w:rPr>
        <w:t>.</w:t>
      </w:r>
      <w:r w:rsidRPr="00427E48">
        <w:rPr>
          <w:rFonts w:ascii="Arial" w:eastAsia="Arial" w:hAnsi="Arial" w:cs="Arial"/>
          <w:color w:val="000000" w:themeColor="text1"/>
          <w:sz w:val="22"/>
          <w:szCs w:val="22"/>
        </w:rPr>
        <w:t xml:space="preserve"> </w:t>
      </w:r>
      <w:r w:rsidRPr="009D50FF">
        <w:rPr>
          <w:rFonts w:ascii="Arial" w:eastAsia="Arial" w:hAnsi="Arial" w:cs="Arial"/>
          <w:color w:val="000000" w:themeColor="text1"/>
          <w:sz w:val="22"/>
          <w:szCs w:val="22"/>
        </w:rPr>
        <w:t xml:space="preserve">Del </w:t>
      </w:r>
      <w:r w:rsidRPr="00427E48">
        <w:rPr>
          <w:rFonts w:ascii="Arial" w:eastAsia="Arial" w:hAnsi="Arial" w:cs="Arial"/>
          <w:color w:val="000000" w:themeColor="text1"/>
          <w:sz w:val="22"/>
          <w:szCs w:val="22"/>
        </w:rPr>
        <w:t xml:space="preserve">análisis a la información recibida, se advirtió que los </w:t>
      </w:r>
      <w:r w:rsidR="0052200C">
        <w:rPr>
          <w:rFonts w:ascii="Arial" w:eastAsia="Arial" w:hAnsi="Arial" w:cs="Arial"/>
          <w:color w:val="000000" w:themeColor="text1"/>
          <w:sz w:val="22"/>
          <w:szCs w:val="22"/>
        </w:rPr>
        <w:t xml:space="preserve">22 </w:t>
      </w:r>
      <w:r w:rsidRPr="00427E48">
        <w:rPr>
          <w:rFonts w:ascii="Arial" w:eastAsia="Arial" w:hAnsi="Arial" w:cs="Arial"/>
          <w:color w:val="000000" w:themeColor="text1"/>
          <w:sz w:val="22"/>
          <w:szCs w:val="22"/>
        </w:rPr>
        <w:t>sujetos obligados que omitieron responder al requerimiento fueron los siguientes:</w:t>
      </w:r>
      <w:r w:rsidR="00766A88">
        <w:rPr>
          <w:rFonts w:ascii="Arial" w:eastAsia="Arial" w:hAnsi="Arial" w:cs="Arial"/>
          <w:color w:val="000000" w:themeColor="text1"/>
          <w:sz w:val="22"/>
          <w:szCs w:val="22"/>
        </w:rPr>
        <w:t xml:space="preserve"> </w:t>
      </w:r>
      <w:r w:rsidR="00427E48" w:rsidRPr="00427E48">
        <w:rPr>
          <w:rFonts w:ascii="Arial" w:eastAsia="Arial" w:hAnsi="Arial" w:cs="Arial"/>
          <w:color w:val="000000" w:themeColor="text1"/>
          <w:sz w:val="22"/>
          <w:szCs w:val="22"/>
        </w:rPr>
        <w:t xml:space="preserve">1. Administración del Sistema Portuario Nacional Lázaro Cárdenas, S.A. de C.V, 2.Administración del Sistema Portuario Nacional Veracruz, S.A. de C.V., 3. Comisión Federal de Competencia Económica, 4. Comisión Reguladora de Energía, 5. Diconsa, S.A. de C.V., 6. FONATUR Tren Maya, S.A. de C.V., 7. Pemex Transformación Industrial (TRI), 8. Procuraduría Federal de Protección al Ambiente, 9. SSPC-Guardia Nacional, 10. Talleres Gráficos de México, 11. Notimex, Agencia de Noticias del Estado Mexicano, 12. Seguridad Alimentaria Mexicana, 13. Colegio de Postgraduados, 14. Centro de Investigación Científica y de Educación Superior de </w:t>
      </w:r>
      <w:r w:rsidR="00427E48" w:rsidRPr="00427E48">
        <w:rPr>
          <w:rFonts w:ascii="Arial" w:eastAsia="Arial" w:hAnsi="Arial" w:cs="Arial"/>
          <w:color w:val="000000" w:themeColor="text1"/>
          <w:sz w:val="22"/>
          <w:szCs w:val="22"/>
        </w:rPr>
        <w:lastRenderedPageBreak/>
        <w:t>Ensenada, Baja California, 15. Consejo Nacional de Ciencia y Tecnología, 16. Patronato de Obras e Instalaciones del Instituto Politécnico Nacional, 17.Organismo Coordinador de las Universidades para el Bienestar Benito Juárez García (OCUBBJG), 18. Centro Regional de Alta Especialidad de Chiapas, 19. Hospital General de México "Dr. Eduardo Liceaga", 20. Hospital Regional de Alta Especialidad del Bajío, 21. Instituto Nacional de Investigaciones Nucleares, 22. Secretaría Ejecutiva del Sistema Nacional Anticorrupción.</w:t>
      </w:r>
    </w:p>
    <w:p w14:paraId="36C9A7BD" w14:textId="3D5A160E" w:rsidR="00DC0AF8" w:rsidRDefault="00DC0AF8" w:rsidP="00427E48">
      <w:pPr>
        <w:autoSpaceDE w:val="0"/>
        <w:autoSpaceDN w:val="0"/>
        <w:spacing w:line="276" w:lineRule="auto"/>
        <w:jc w:val="both"/>
        <w:rPr>
          <w:rFonts w:ascii="Arial" w:eastAsia="Arial" w:hAnsi="Arial" w:cs="Arial"/>
          <w:color w:val="000000" w:themeColor="text1"/>
          <w:sz w:val="22"/>
          <w:szCs w:val="22"/>
        </w:rPr>
      </w:pPr>
    </w:p>
    <w:p w14:paraId="7134BFE5" w14:textId="3D0C1E57" w:rsidR="00DC0AF8" w:rsidRPr="00BF3E7E" w:rsidRDefault="0052200C" w:rsidP="00D76669">
      <w:pPr>
        <w:widowControl w:val="0"/>
        <w:spacing w:line="276"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rPr>
        <w:t>R</w:t>
      </w:r>
      <w:r w:rsidR="00184D80" w:rsidRPr="00881843">
        <w:rPr>
          <w:rFonts w:ascii="Arial" w:eastAsia="Arial" w:hAnsi="Arial" w:cs="Arial"/>
          <w:color w:val="000000" w:themeColor="text1"/>
          <w:sz w:val="22"/>
          <w:szCs w:val="22"/>
        </w:rPr>
        <w:t xml:space="preserve">especto de </w:t>
      </w:r>
      <w:r>
        <w:rPr>
          <w:rFonts w:ascii="Arial" w:eastAsia="Arial" w:hAnsi="Arial" w:cs="Arial"/>
          <w:color w:val="000000" w:themeColor="text1"/>
          <w:sz w:val="22"/>
          <w:szCs w:val="22"/>
        </w:rPr>
        <w:t>est</w:t>
      </w:r>
      <w:r w:rsidR="00184D80" w:rsidRPr="00881843">
        <w:rPr>
          <w:rFonts w:ascii="Arial" w:eastAsia="Arial" w:hAnsi="Arial" w:cs="Arial"/>
          <w:color w:val="000000" w:themeColor="text1"/>
          <w:sz w:val="22"/>
          <w:szCs w:val="22"/>
        </w:rPr>
        <w:t xml:space="preserve">os sujetos obligados que </w:t>
      </w:r>
      <w:r w:rsidR="00A76999" w:rsidRPr="00881843">
        <w:rPr>
          <w:rFonts w:ascii="Arial" w:eastAsia="Arial" w:hAnsi="Arial" w:cs="Arial"/>
          <w:color w:val="000000" w:themeColor="text1"/>
          <w:sz w:val="22"/>
          <w:szCs w:val="22"/>
        </w:rPr>
        <w:t xml:space="preserve">fueron omisos en dar respuesta al requerimiento realizado, </w:t>
      </w:r>
      <w:r w:rsidR="00184D80" w:rsidRPr="00881843">
        <w:rPr>
          <w:rFonts w:ascii="Arial" w:eastAsia="Arial" w:hAnsi="Arial" w:cs="Arial"/>
          <w:color w:val="000000" w:themeColor="text1"/>
          <w:sz w:val="22"/>
          <w:szCs w:val="22"/>
        </w:rPr>
        <w:t>se pr</w:t>
      </w:r>
      <w:r w:rsidR="00184D80">
        <w:rPr>
          <w:rFonts w:ascii="Arial" w:eastAsia="Arial" w:hAnsi="Arial" w:cs="Arial"/>
          <w:color w:val="000000" w:themeColor="text1"/>
          <w:sz w:val="22"/>
          <w:szCs w:val="22"/>
        </w:rPr>
        <w:t xml:space="preserve">ocedió a </w:t>
      </w:r>
      <w:r w:rsidR="00DC0AF8" w:rsidRPr="004B501E">
        <w:rPr>
          <w:rFonts w:ascii="Arial" w:eastAsia="Arial" w:hAnsi="Arial" w:cs="Arial"/>
          <w:color w:val="000000" w:themeColor="text1"/>
          <w:sz w:val="22"/>
          <w:szCs w:val="22"/>
        </w:rPr>
        <w:t xml:space="preserve">la búsqueda </w:t>
      </w:r>
      <w:r>
        <w:rPr>
          <w:rFonts w:ascii="Arial" w:eastAsia="Arial" w:hAnsi="Arial" w:cs="Arial"/>
          <w:color w:val="000000" w:themeColor="text1"/>
          <w:sz w:val="22"/>
          <w:szCs w:val="22"/>
        </w:rPr>
        <w:t xml:space="preserve">y descarga </w:t>
      </w:r>
      <w:r w:rsidR="00DC0AF8" w:rsidRPr="004B501E">
        <w:rPr>
          <w:rFonts w:ascii="Arial" w:eastAsia="Arial" w:hAnsi="Arial" w:cs="Arial"/>
          <w:color w:val="000000" w:themeColor="text1"/>
          <w:sz w:val="22"/>
          <w:szCs w:val="22"/>
        </w:rPr>
        <w:t xml:space="preserve">de </w:t>
      </w:r>
      <w:r>
        <w:rPr>
          <w:rFonts w:ascii="Arial" w:eastAsia="Arial" w:hAnsi="Arial" w:cs="Arial"/>
          <w:color w:val="000000" w:themeColor="text1"/>
          <w:sz w:val="22"/>
          <w:szCs w:val="22"/>
        </w:rPr>
        <w:t xml:space="preserve">la </w:t>
      </w:r>
      <w:r w:rsidR="00DC0AF8" w:rsidRPr="004B501E">
        <w:rPr>
          <w:rFonts w:ascii="Arial" w:eastAsia="Arial" w:hAnsi="Arial" w:cs="Arial"/>
          <w:color w:val="000000" w:themeColor="text1"/>
          <w:sz w:val="22"/>
          <w:szCs w:val="22"/>
        </w:rPr>
        <w:t xml:space="preserve">información </w:t>
      </w:r>
      <w:r w:rsidR="00184D80">
        <w:rPr>
          <w:rFonts w:ascii="Arial" w:eastAsia="Arial" w:hAnsi="Arial" w:cs="Arial"/>
          <w:color w:val="000000" w:themeColor="text1"/>
          <w:sz w:val="22"/>
          <w:szCs w:val="22"/>
        </w:rPr>
        <w:t xml:space="preserve">publicada </w:t>
      </w:r>
      <w:r w:rsidR="00DC0AF8" w:rsidRPr="004B501E">
        <w:rPr>
          <w:rFonts w:ascii="Arial" w:eastAsia="Arial" w:hAnsi="Arial" w:cs="Arial"/>
          <w:color w:val="000000" w:themeColor="text1"/>
          <w:sz w:val="22"/>
          <w:szCs w:val="22"/>
        </w:rPr>
        <w:t>en las fracciones XV y XXVI del artículo 70 en el SIPOT</w:t>
      </w:r>
      <w:r>
        <w:rPr>
          <w:rFonts w:ascii="Arial" w:eastAsia="Arial" w:hAnsi="Arial" w:cs="Arial"/>
          <w:color w:val="000000" w:themeColor="text1"/>
          <w:sz w:val="22"/>
          <w:szCs w:val="22"/>
        </w:rPr>
        <w:t>, a efecto de integrar la información correspondiente en el padrón de personas físicas y morales.</w:t>
      </w:r>
    </w:p>
    <w:p w14:paraId="0FB2A3EA" w14:textId="77777777" w:rsidR="00DC0AF8" w:rsidRPr="00BF3E7E" w:rsidRDefault="00DC0AF8" w:rsidP="00DC0AF8">
      <w:pPr>
        <w:widowControl w:val="0"/>
        <w:spacing w:line="276" w:lineRule="auto"/>
        <w:jc w:val="both"/>
        <w:rPr>
          <w:rFonts w:ascii="Arial" w:eastAsia="Arial" w:hAnsi="Arial" w:cs="Arial"/>
          <w:color w:val="000000" w:themeColor="text1"/>
          <w:sz w:val="22"/>
          <w:szCs w:val="22"/>
        </w:rPr>
      </w:pPr>
    </w:p>
    <w:p w14:paraId="642DA119" w14:textId="77777777" w:rsidR="00DC0AF8" w:rsidRPr="00DC2D13" w:rsidRDefault="00DC0AF8" w:rsidP="00DC0AF8">
      <w:pPr>
        <w:widowControl w:val="0"/>
        <w:spacing w:line="276" w:lineRule="auto"/>
        <w:jc w:val="both"/>
        <w:rPr>
          <w:rFonts w:ascii="Arial" w:eastAsia="Arial" w:hAnsi="Arial" w:cs="Arial"/>
          <w:color w:val="000000" w:themeColor="text1"/>
          <w:sz w:val="22"/>
          <w:szCs w:val="22"/>
        </w:rPr>
      </w:pPr>
    </w:p>
    <w:p w14:paraId="458A26DB" w14:textId="77777777" w:rsidR="00DC0AF8" w:rsidRPr="00923728" w:rsidRDefault="00DC0AF8" w:rsidP="00DC0AF8">
      <w:pPr>
        <w:widowControl w:val="0"/>
        <w:spacing w:line="276" w:lineRule="auto"/>
        <w:jc w:val="center"/>
        <w:rPr>
          <w:rFonts w:ascii="Arial" w:eastAsia="Arial" w:hAnsi="Arial" w:cs="Arial"/>
          <w:b/>
          <w:color w:val="000000" w:themeColor="text1"/>
          <w:sz w:val="22"/>
          <w:szCs w:val="22"/>
          <w:lang w:val="pt-BR"/>
        </w:rPr>
      </w:pPr>
      <w:r w:rsidRPr="00923728">
        <w:rPr>
          <w:rFonts w:ascii="Arial" w:eastAsia="Arial" w:hAnsi="Arial" w:cs="Arial"/>
          <w:b/>
          <w:color w:val="000000" w:themeColor="text1"/>
          <w:sz w:val="22"/>
          <w:szCs w:val="22"/>
          <w:lang w:val="pt-BR"/>
        </w:rPr>
        <w:t>C O N S I D E R A N D O S</w:t>
      </w:r>
    </w:p>
    <w:p w14:paraId="6001732D" w14:textId="77777777" w:rsidR="00DC0AF8" w:rsidRPr="00923728" w:rsidRDefault="00DC0AF8" w:rsidP="00DC0AF8">
      <w:pPr>
        <w:widowControl w:val="0"/>
        <w:spacing w:line="276" w:lineRule="auto"/>
        <w:jc w:val="center"/>
        <w:rPr>
          <w:rFonts w:ascii="Arial" w:eastAsia="Arial" w:hAnsi="Arial" w:cs="Arial"/>
          <w:b/>
          <w:color w:val="000000" w:themeColor="text1"/>
          <w:sz w:val="22"/>
          <w:szCs w:val="22"/>
          <w:lang w:val="pt-BR"/>
        </w:rPr>
      </w:pPr>
    </w:p>
    <w:p w14:paraId="32AC7A76"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 xml:space="preserve">I. COMPETENCIA: </w:t>
      </w:r>
      <w:r w:rsidRPr="00DC2D13">
        <w:rPr>
          <w:rFonts w:ascii="Arial" w:eastAsia="Arial" w:hAnsi="Arial" w:cs="Arial"/>
          <w:color w:val="000000" w:themeColor="text1"/>
          <w:sz w:val="22"/>
          <w:szCs w:val="22"/>
        </w:rPr>
        <w:t>En términos de lo dispuesto en los artículos 6o, apartado A, fracción VIII de la Constitución Política de los Estados Unidos Mexicanos; 37, 81 y 82 de la Ley General de Transparencia y Acceso a la Información Pública, así como 17, 74 párrafo primero, 75 y 76 de la Ley Federal de Transparencia y Acceso a la Información Pública, este Instituto es competente para determinar la forma en que las personas físicas o morales que reciban y ejerzan recursos públicos o realicen actos de autoridad, cumplirán con sus obligaciones de transparencia y acceso a la información, de forma directa o a través de los s</w:t>
      </w:r>
      <w:r>
        <w:rPr>
          <w:rFonts w:ascii="Arial" w:eastAsia="Arial" w:hAnsi="Arial" w:cs="Arial"/>
          <w:color w:val="000000" w:themeColor="text1"/>
          <w:sz w:val="22"/>
          <w:szCs w:val="22"/>
        </w:rPr>
        <w:t>ujetos obligados que les asigne</w:t>
      </w:r>
      <w:r w:rsidRPr="00DC2D13">
        <w:rPr>
          <w:rFonts w:ascii="Arial" w:eastAsia="Arial" w:hAnsi="Arial" w:cs="Arial"/>
          <w:color w:val="000000" w:themeColor="text1"/>
          <w:sz w:val="22"/>
          <w:szCs w:val="22"/>
        </w:rPr>
        <w:t xml:space="preserve"> recursos públicos o, en términos de las disposiciones aplicables, </w:t>
      </w:r>
      <w:r>
        <w:rPr>
          <w:rFonts w:ascii="Arial" w:eastAsia="Arial" w:hAnsi="Arial" w:cs="Arial"/>
          <w:color w:val="000000" w:themeColor="text1"/>
          <w:sz w:val="22"/>
          <w:szCs w:val="22"/>
        </w:rPr>
        <w:t>les faculte</w:t>
      </w:r>
      <w:r w:rsidRPr="00DC2D13">
        <w:rPr>
          <w:rFonts w:ascii="Arial" w:eastAsia="Arial" w:hAnsi="Arial" w:cs="Arial"/>
          <w:color w:val="000000" w:themeColor="text1"/>
          <w:sz w:val="22"/>
          <w:szCs w:val="22"/>
        </w:rPr>
        <w:t xml:space="preserve"> para realizar actos de autoridad.</w:t>
      </w:r>
    </w:p>
    <w:p w14:paraId="1DE2D70A"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226049C4" w14:textId="366688E4"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La Secretaría de Acceso a la Información y la Dirección General de Enlace con Autoridades Laborales, Sindicatos, Universidades, Personas Físicas y Morales, son competentes para integrar, supervisar y remitir el presente dictamen, de conformidad con lo dispuesto en los artículos 24, fracción XVII y 37 fracción XII del Estatuto Orgánico del Instituto Nacional de Transparencia, Acceso a la Información y Protección de Datos Personales </w:t>
      </w:r>
      <w:r w:rsidRPr="00EC4151">
        <w:rPr>
          <w:rFonts w:ascii="Arial" w:eastAsia="Arial" w:hAnsi="Arial" w:cs="Arial"/>
          <w:color w:val="000000" w:themeColor="text1"/>
          <w:sz w:val="22"/>
          <w:szCs w:val="22"/>
        </w:rPr>
        <w:t xml:space="preserve">(Acuerdo </w:t>
      </w:r>
      <w:proofErr w:type="spellStart"/>
      <w:r w:rsidR="007B0A2C" w:rsidRPr="00092553">
        <w:rPr>
          <w:rFonts w:ascii="Arial" w:hAnsi="Arial" w:cs="Arial"/>
          <w:sz w:val="22"/>
          <w:szCs w:val="22"/>
        </w:rPr>
        <w:t>ACUERDO</w:t>
      </w:r>
      <w:proofErr w:type="spellEnd"/>
      <w:r w:rsidR="007B0A2C" w:rsidRPr="00092553">
        <w:rPr>
          <w:rFonts w:ascii="Arial" w:hAnsi="Arial" w:cs="Arial"/>
          <w:sz w:val="22"/>
          <w:szCs w:val="22"/>
        </w:rPr>
        <w:t xml:space="preserve"> ACT -PUB/09/02/2022.07</w:t>
      </w:r>
      <w:r w:rsidRPr="00EC4151">
        <w:rPr>
          <w:rFonts w:ascii="Arial" w:eastAsia="Arial" w:hAnsi="Arial" w:cs="Arial"/>
          <w:color w:val="000000" w:themeColor="text1"/>
          <w:sz w:val="22"/>
          <w:szCs w:val="22"/>
        </w:rPr>
        <w:t xml:space="preserve">), con última modificación de </w:t>
      </w:r>
      <w:r w:rsidR="007B0A2C">
        <w:rPr>
          <w:rFonts w:ascii="Arial" w:eastAsia="Arial" w:hAnsi="Arial" w:cs="Arial"/>
          <w:color w:val="000000" w:themeColor="text1"/>
          <w:sz w:val="22"/>
          <w:szCs w:val="22"/>
        </w:rPr>
        <w:t>nueve</w:t>
      </w:r>
      <w:r w:rsidR="007B0A2C" w:rsidRPr="00EC4151">
        <w:rPr>
          <w:rFonts w:ascii="Arial" w:eastAsia="Arial" w:hAnsi="Arial" w:cs="Arial"/>
          <w:color w:val="000000" w:themeColor="text1"/>
          <w:sz w:val="22"/>
          <w:szCs w:val="22"/>
        </w:rPr>
        <w:t xml:space="preserve"> </w:t>
      </w:r>
      <w:r w:rsidRPr="00EC4151">
        <w:rPr>
          <w:rFonts w:ascii="Arial" w:eastAsia="Arial" w:hAnsi="Arial" w:cs="Arial"/>
          <w:color w:val="000000" w:themeColor="text1"/>
          <w:sz w:val="22"/>
          <w:szCs w:val="22"/>
        </w:rPr>
        <w:t xml:space="preserve">de </w:t>
      </w:r>
      <w:r w:rsidR="007B0A2C">
        <w:rPr>
          <w:rFonts w:ascii="Arial" w:eastAsia="Arial" w:hAnsi="Arial" w:cs="Arial"/>
          <w:color w:val="000000" w:themeColor="text1"/>
          <w:sz w:val="22"/>
          <w:szCs w:val="22"/>
        </w:rPr>
        <w:t>febrero</w:t>
      </w:r>
      <w:r w:rsidR="007B0A2C" w:rsidRPr="00EC4151">
        <w:rPr>
          <w:rFonts w:ascii="Arial" w:eastAsia="Arial" w:hAnsi="Arial" w:cs="Arial"/>
          <w:color w:val="000000" w:themeColor="text1"/>
          <w:sz w:val="22"/>
          <w:szCs w:val="22"/>
        </w:rPr>
        <w:t xml:space="preserve"> </w:t>
      </w:r>
      <w:r w:rsidRPr="00EC4151">
        <w:rPr>
          <w:rFonts w:ascii="Arial" w:eastAsia="Arial" w:hAnsi="Arial" w:cs="Arial"/>
          <w:color w:val="000000" w:themeColor="text1"/>
          <w:sz w:val="22"/>
          <w:szCs w:val="22"/>
        </w:rPr>
        <w:t xml:space="preserve">de dos mil </w:t>
      </w:r>
      <w:r w:rsidR="00EC4151" w:rsidRPr="00EC4151">
        <w:rPr>
          <w:rFonts w:ascii="Arial" w:eastAsia="Arial" w:hAnsi="Arial" w:cs="Arial"/>
          <w:color w:val="000000" w:themeColor="text1"/>
          <w:sz w:val="22"/>
          <w:szCs w:val="22"/>
        </w:rPr>
        <w:t>veinti</w:t>
      </w:r>
      <w:r w:rsidR="007B0A2C">
        <w:rPr>
          <w:rFonts w:ascii="Arial" w:eastAsia="Arial" w:hAnsi="Arial" w:cs="Arial"/>
          <w:color w:val="000000" w:themeColor="text1"/>
          <w:sz w:val="22"/>
          <w:szCs w:val="22"/>
        </w:rPr>
        <w:t>dós</w:t>
      </w:r>
      <w:r w:rsidR="00EC4151" w:rsidRPr="00EC4151">
        <w:rPr>
          <w:rFonts w:ascii="Arial" w:eastAsia="Arial" w:hAnsi="Arial" w:cs="Arial"/>
          <w:color w:val="000000" w:themeColor="text1"/>
          <w:sz w:val="22"/>
          <w:szCs w:val="22"/>
        </w:rPr>
        <w:t xml:space="preserve"> publicada en el DOF el </w:t>
      </w:r>
      <w:r w:rsidR="007B0A2C">
        <w:rPr>
          <w:rFonts w:ascii="Arial" w:eastAsia="Arial" w:hAnsi="Arial" w:cs="Arial"/>
          <w:color w:val="000000" w:themeColor="text1"/>
          <w:sz w:val="22"/>
          <w:szCs w:val="22"/>
        </w:rPr>
        <w:t>veinticinco</w:t>
      </w:r>
      <w:r w:rsidR="007B0A2C" w:rsidRPr="00EC4151">
        <w:rPr>
          <w:rFonts w:ascii="Arial" w:eastAsia="Arial" w:hAnsi="Arial" w:cs="Arial"/>
          <w:color w:val="000000" w:themeColor="text1"/>
          <w:sz w:val="22"/>
          <w:szCs w:val="22"/>
        </w:rPr>
        <w:t xml:space="preserve"> </w:t>
      </w:r>
      <w:r w:rsidR="00EC4151" w:rsidRPr="00EC4151">
        <w:rPr>
          <w:rFonts w:ascii="Arial" w:eastAsia="Arial" w:hAnsi="Arial" w:cs="Arial"/>
          <w:color w:val="000000" w:themeColor="text1"/>
          <w:sz w:val="22"/>
          <w:szCs w:val="22"/>
        </w:rPr>
        <w:t xml:space="preserve">de </w:t>
      </w:r>
      <w:r w:rsidR="007B0A2C">
        <w:rPr>
          <w:rFonts w:ascii="Arial" w:eastAsia="Arial" w:hAnsi="Arial" w:cs="Arial"/>
          <w:color w:val="000000" w:themeColor="text1"/>
          <w:sz w:val="22"/>
          <w:szCs w:val="22"/>
        </w:rPr>
        <w:t>febrero</w:t>
      </w:r>
      <w:r w:rsidR="007B0A2C" w:rsidRPr="00EC4151">
        <w:rPr>
          <w:rFonts w:ascii="Arial" w:eastAsia="Arial" w:hAnsi="Arial" w:cs="Arial"/>
          <w:color w:val="000000" w:themeColor="text1"/>
          <w:sz w:val="22"/>
          <w:szCs w:val="22"/>
        </w:rPr>
        <w:t xml:space="preserve"> </w:t>
      </w:r>
      <w:r w:rsidR="00EC4151" w:rsidRPr="00EC4151">
        <w:rPr>
          <w:rFonts w:ascii="Arial" w:eastAsia="Arial" w:hAnsi="Arial" w:cs="Arial"/>
          <w:color w:val="000000" w:themeColor="text1"/>
          <w:sz w:val="22"/>
          <w:szCs w:val="22"/>
        </w:rPr>
        <w:t>del mismo año</w:t>
      </w:r>
      <w:r w:rsidRPr="00EC4151">
        <w:rPr>
          <w:rFonts w:ascii="Arial" w:eastAsia="Arial" w:hAnsi="Arial" w:cs="Arial"/>
          <w:color w:val="000000" w:themeColor="text1"/>
          <w:sz w:val="22"/>
          <w:szCs w:val="22"/>
        </w:rPr>
        <w:t>, así</w:t>
      </w:r>
      <w:r w:rsidRPr="00DC2D13">
        <w:rPr>
          <w:rFonts w:ascii="Arial" w:eastAsia="Arial" w:hAnsi="Arial" w:cs="Arial"/>
          <w:color w:val="000000" w:themeColor="text1"/>
          <w:sz w:val="22"/>
          <w:szCs w:val="22"/>
        </w:rPr>
        <w:t xml:space="preserve"> como en lo establecido en los numerales Sexto y Décimo Segundo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w:t>
      </w:r>
    </w:p>
    <w:p w14:paraId="62FAA158"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440C8F33"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II. FUNDAMENTACIÓN:</w:t>
      </w:r>
      <w:r w:rsidRPr="00DC2D13">
        <w:rPr>
          <w:rFonts w:ascii="Arial" w:eastAsia="Arial" w:hAnsi="Arial" w:cs="Arial"/>
          <w:color w:val="000000" w:themeColor="text1"/>
          <w:sz w:val="22"/>
          <w:szCs w:val="22"/>
        </w:rPr>
        <w:t xml:space="preserve"> En términos de lo dispuesto en los artículos 6o, apartado A,  fracción I de la Constitución Política de los Estados Unidos Mexicanos; 1 y 23 de la Ley </w:t>
      </w:r>
      <w:r w:rsidRPr="00DC2D13">
        <w:rPr>
          <w:rFonts w:ascii="Arial" w:eastAsia="Arial" w:hAnsi="Arial" w:cs="Arial"/>
          <w:color w:val="000000" w:themeColor="text1"/>
          <w:sz w:val="22"/>
          <w:szCs w:val="22"/>
        </w:rPr>
        <w:lastRenderedPageBreak/>
        <w:t>General, y 1 y 9 de la Ley Federal,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federal.</w:t>
      </w:r>
    </w:p>
    <w:p w14:paraId="30DE7663"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61708C27"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Con base en lo establecido en los artículos 81 y 82 de la Ley General, en relación con los numerales 75 y 76 de la Ley Federal, este Instituto debe determinar los casos en que las personas físicas y morales que reciban y ejerzan recursos públicos o realicen actos de autoridad cumplirán, de manera directa o a través de los sujetos obligados que les otorgan los recursos públicos o les encomiendan los actos de autoridad, con sus obligaciones de transparencia y acceso a la información.</w:t>
      </w:r>
    </w:p>
    <w:p w14:paraId="35BDAC5B"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4889E005"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III</w:t>
      </w:r>
      <w:r w:rsidRPr="00DC2D13">
        <w:rPr>
          <w:rFonts w:ascii="Arial" w:eastAsia="Arial" w:hAnsi="Arial" w:cs="Arial"/>
          <w:color w:val="000000" w:themeColor="text1"/>
          <w:sz w:val="22"/>
          <w:szCs w:val="22"/>
        </w:rPr>
        <w:t xml:space="preserve">. </w:t>
      </w:r>
      <w:r w:rsidRPr="00DC2D13">
        <w:rPr>
          <w:rFonts w:ascii="Arial" w:eastAsia="Arial" w:hAnsi="Arial" w:cs="Arial"/>
          <w:b/>
          <w:color w:val="000000" w:themeColor="text1"/>
          <w:sz w:val="22"/>
          <w:szCs w:val="22"/>
        </w:rPr>
        <w:t>MOTIVACIÓN</w:t>
      </w:r>
      <w:r w:rsidRPr="00DC2D13">
        <w:rPr>
          <w:rFonts w:ascii="Arial" w:eastAsia="Arial" w:hAnsi="Arial" w:cs="Arial"/>
          <w:color w:val="000000" w:themeColor="text1"/>
          <w:sz w:val="22"/>
          <w:szCs w:val="22"/>
        </w:rPr>
        <w:t xml:space="preserve">. Los Lineamientos Técnicos Generales en el anexo XIV, establecen las bases a partir de las cuales el Instituto Nacional de Transparencia, Acceso a la Información y Protección de Datos Personales, determinará la forma en que las personas físicas o morales que reciban y ejerzan recursos públicos o realicen actos de autoridad, cumplirán con las obligaciones de transparencia y acceso a la información que establecen las leyes en la materia. </w:t>
      </w:r>
    </w:p>
    <w:p w14:paraId="6C640C29"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553373C2"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En ese sentido, es importante mencionar que, de conformidad con lo previsto en los artículos 13 de la Ley General y 15 de la Ley Federal, los sujetos obligados, en la entrega de la información, deben garantizar que ésta sea accesible, confiable, verificable, veraz, oportuna y que atienda a las necesidades de acceso a la información de toda persona.</w:t>
      </w:r>
    </w:p>
    <w:p w14:paraId="31ECC4DA"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63489DD5"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Asimismo, es de considerarse que, de conformidad con los artículos 24, fracción VIII y 81 de la Ley General, así como 11 fracción VIII y 75 de la Ley Federal, es responsabilidad de los sujetos obligados atender los requerimientos, observaciones, recomendaciones y criterios que, en materia de transparencia, realicen los Organismos garantes y el Sistema Nacional de Transparencia, Acceso a la Información Pública y Protección de Datos Personales.</w:t>
      </w:r>
    </w:p>
    <w:p w14:paraId="73DBEEE2"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576853A1" w14:textId="77777777" w:rsidR="00DC0AF8" w:rsidRPr="00DC2D13" w:rsidRDefault="00DC0AF8" w:rsidP="00DC0AF8">
      <w:pPr>
        <w:widowControl w:val="0"/>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Expuesto lo anterior, es necesario precisar que, para determinar la forma en que las personas físicas y morales que reciben y ejercen recursos públicos o realizan actos de autoridad cumplan con sus obligaciones de transparencia y acceso a la información, en los numerales Sexto, Séptimo, Octavo y Noveno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se establecen, a la letra, las siguientes hipótesis:</w:t>
      </w:r>
    </w:p>
    <w:p w14:paraId="585D2752" w14:textId="77777777" w:rsidR="00DC0AF8" w:rsidRPr="00DC2D13" w:rsidRDefault="00DC0AF8" w:rsidP="00DC0AF8">
      <w:pPr>
        <w:widowControl w:val="0"/>
        <w:spacing w:line="276" w:lineRule="auto"/>
        <w:ind w:left="851" w:right="993"/>
        <w:jc w:val="both"/>
        <w:rPr>
          <w:rFonts w:ascii="Arial" w:eastAsia="Arial" w:hAnsi="Arial" w:cs="Arial"/>
          <w:color w:val="000000" w:themeColor="text1"/>
          <w:sz w:val="22"/>
          <w:szCs w:val="22"/>
        </w:rPr>
      </w:pPr>
    </w:p>
    <w:p w14:paraId="08BA5AD8" w14:textId="77777777" w:rsidR="00DC0AF8" w:rsidRPr="00DC2D13" w:rsidRDefault="00DC0AF8" w:rsidP="00DC0AF8">
      <w:pPr>
        <w:widowControl w:val="0"/>
        <w:spacing w:line="276" w:lineRule="auto"/>
        <w:ind w:left="567" w:right="567"/>
        <w:jc w:val="both"/>
        <w:rPr>
          <w:rFonts w:ascii="Arial" w:eastAsia="Arial" w:hAnsi="Arial" w:cs="Arial"/>
          <w:color w:val="000000" w:themeColor="text1"/>
          <w:sz w:val="20"/>
          <w:szCs w:val="20"/>
        </w:rPr>
      </w:pPr>
      <w:r w:rsidRPr="00DC2D13">
        <w:rPr>
          <w:rFonts w:ascii="Arial" w:eastAsia="Arial" w:hAnsi="Arial" w:cs="Arial"/>
          <w:color w:val="000000" w:themeColor="text1"/>
          <w:sz w:val="20"/>
          <w:szCs w:val="20"/>
        </w:rPr>
        <w:t xml:space="preserve">“(…). </w:t>
      </w:r>
    </w:p>
    <w:p w14:paraId="703BD314" w14:textId="77777777" w:rsidR="00DC0AF8" w:rsidRPr="00DC2D13" w:rsidRDefault="00DC0AF8" w:rsidP="00DC0AF8">
      <w:pPr>
        <w:widowControl w:val="0"/>
        <w:spacing w:line="276" w:lineRule="auto"/>
        <w:ind w:left="567" w:right="567"/>
        <w:jc w:val="both"/>
        <w:rPr>
          <w:rFonts w:ascii="Arial" w:eastAsia="Arial" w:hAnsi="Arial" w:cs="Arial"/>
          <w:color w:val="000000" w:themeColor="text1"/>
          <w:sz w:val="20"/>
          <w:szCs w:val="20"/>
        </w:rPr>
      </w:pPr>
    </w:p>
    <w:p w14:paraId="421D9276" w14:textId="77777777" w:rsidR="00DC0AF8" w:rsidRPr="00DC2D13" w:rsidRDefault="00DC0AF8" w:rsidP="00DC0AF8">
      <w:pPr>
        <w:widowControl w:val="0"/>
        <w:spacing w:line="276" w:lineRule="auto"/>
        <w:ind w:left="567" w:right="567"/>
        <w:jc w:val="both"/>
        <w:rPr>
          <w:rFonts w:ascii="Arial" w:eastAsia="Arial" w:hAnsi="Arial" w:cs="Arial"/>
          <w:color w:val="000000" w:themeColor="text1"/>
          <w:sz w:val="20"/>
          <w:szCs w:val="20"/>
        </w:rPr>
      </w:pPr>
      <w:r w:rsidRPr="00DC2D13">
        <w:rPr>
          <w:rFonts w:ascii="Arial" w:eastAsia="Arial" w:hAnsi="Arial" w:cs="Arial"/>
          <w:b/>
          <w:color w:val="000000" w:themeColor="text1"/>
          <w:sz w:val="20"/>
          <w:szCs w:val="20"/>
        </w:rPr>
        <w:t>Sexto.</w:t>
      </w:r>
      <w:r w:rsidRPr="00DC2D13">
        <w:rPr>
          <w:rFonts w:ascii="Arial" w:eastAsia="Arial" w:hAnsi="Arial" w:cs="Arial"/>
          <w:color w:val="000000" w:themeColor="text1"/>
          <w:sz w:val="20"/>
          <w:szCs w:val="20"/>
        </w:rPr>
        <w:t xml:space="preserve"> Para determinar la forma en que las personas físicas o morales que reciban y ejerzan recursos públicos o realicen actos de autoridad, cumplan con las obligaciones de transparencia y acceso a la información, La Secretaría de Acceso en coordinación con la Dirección General de Enlace con Autoridades Laborales, Sindicatos, Universidades, Personas Físicas y Morales, elaborará un dictamen en el que tome en cuenta el nivel de financiamiento público, si realiza una función gubernamental, nivel de regulación e involucramiento gubernamental, participación del gobierno en la creación, considerando lo siguiente: </w:t>
      </w:r>
    </w:p>
    <w:p w14:paraId="03889DCD" w14:textId="77777777" w:rsidR="00DC0AF8" w:rsidRPr="00DC2D13" w:rsidRDefault="00DC0AF8" w:rsidP="00DC0AF8">
      <w:pPr>
        <w:widowControl w:val="0"/>
        <w:spacing w:line="276" w:lineRule="auto"/>
        <w:ind w:left="567" w:right="567"/>
        <w:jc w:val="both"/>
        <w:rPr>
          <w:rFonts w:ascii="Arial" w:eastAsia="Arial" w:hAnsi="Arial" w:cs="Arial"/>
          <w:color w:val="000000" w:themeColor="text1"/>
          <w:sz w:val="20"/>
          <w:szCs w:val="20"/>
        </w:rPr>
      </w:pPr>
    </w:p>
    <w:p w14:paraId="2B1A684A" w14:textId="77777777" w:rsidR="00DC0AF8" w:rsidRPr="00F278D5" w:rsidRDefault="00DC0AF8" w:rsidP="00DC0AF8">
      <w:pPr>
        <w:widowControl w:val="0"/>
        <w:spacing w:line="276" w:lineRule="auto"/>
        <w:ind w:left="850" w:right="851"/>
        <w:jc w:val="both"/>
        <w:rPr>
          <w:rFonts w:ascii="Arial" w:eastAsia="Arial" w:hAnsi="Arial" w:cs="Arial"/>
          <w:color w:val="000000" w:themeColor="text1"/>
          <w:sz w:val="19"/>
          <w:szCs w:val="19"/>
        </w:rPr>
      </w:pPr>
      <w:r w:rsidRPr="00DC2D13">
        <w:rPr>
          <w:rFonts w:ascii="Arial" w:eastAsia="Arial" w:hAnsi="Arial" w:cs="Arial"/>
          <w:color w:val="000000" w:themeColor="text1"/>
          <w:sz w:val="20"/>
          <w:szCs w:val="20"/>
        </w:rPr>
        <w:t>I. Si derivado del informe que</w:t>
      </w:r>
      <w:r w:rsidRPr="00F278D5">
        <w:rPr>
          <w:rFonts w:ascii="Arial" w:eastAsia="Arial" w:hAnsi="Arial" w:cs="Arial"/>
          <w:color w:val="000000" w:themeColor="text1"/>
          <w:sz w:val="19"/>
          <w:szCs w:val="19"/>
        </w:rPr>
        <w:t xml:space="preserve"> los sujetos obligados envíen al Instituto, en términos de lo dispuesto en los artículos 81 de la Ley General y 75 de la Ley Federal, se acredita que las personas físicas o morales materia de los presentes lineamientos cumplen con los mecanismos de rendición de cuentas que ha instrumentado el sujeto obligado que les otorga los recursos o les encomienda los actos de autoridad y que, además, esa información se encuentra en registros públicos de información. </w:t>
      </w:r>
    </w:p>
    <w:p w14:paraId="2F1F95CE" w14:textId="77777777" w:rsidR="00DC0AF8" w:rsidRPr="00F278D5" w:rsidRDefault="00DC0AF8" w:rsidP="00DC0AF8">
      <w:pPr>
        <w:widowControl w:val="0"/>
        <w:spacing w:line="276" w:lineRule="auto"/>
        <w:ind w:left="850" w:right="851"/>
        <w:jc w:val="both"/>
        <w:rPr>
          <w:rFonts w:ascii="Arial" w:eastAsia="Arial" w:hAnsi="Arial" w:cs="Arial"/>
          <w:color w:val="000000" w:themeColor="text1"/>
          <w:sz w:val="19"/>
          <w:szCs w:val="19"/>
        </w:rPr>
      </w:pPr>
    </w:p>
    <w:p w14:paraId="69C2DF24" w14:textId="77777777" w:rsidR="00DC0AF8" w:rsidRPr="00F278D5" w:rsidRDefault="00DC0AF8" w:rsidP="00DC0AF8">
      <w:pPr>
        <w:widowControl w:val="0"/>
        <w:spacing w:line="276" w:lineRule="auto"/>
        <w:ind w:left="850" w:right="851"/>
        <w:jc w:val="both"/>
        <w:rPr>
          <w:rFonts w:ascii="Arial" w:eastAsia="Arial" w:hAnsi="Arial" w:cs="Arial"/>
          <w:color w:val="000000" w:themeColor="text1"/>
          <w:sz w:val="19"/>
          <w:szCs w:val="19"/>
        </w:rPr>
      </w:pPr>
      <w:r w:rsidRPr="00F278D5">
        <w:rPr>
          <w:rFonts w:ascii="Arial" w:eastAsia="Arial" w:hAnsi="Arial" w:cs="Arial"/>
          <w:color w:val="000000" w:themeColor="text1"/>
          <w:sz w:val="19"/>
          <w:szCs w:val="19"/>
        </w:rPr>
        <w:t xml:space="preserve">II. Si el nivel de financiamiento público anual recibido por la persona física o moral es igual o inferior al equivalente de la suma de los montos máximos previstos en las fracciones II y III del artículo 214 de la Ley General, multiplicado por el monto de la Unidad de Medida y Actualización (UMA) vigente. </w:t>
      </w:r>
    </w:p>
    <w:p w14:paraId="73F76A13" w14:textId="77777777" w:rsidR="00DC0AF8" w:rsidRPr="00F278D5" w:rsidRDefault="00DC0AF8" w:rsidP="00DC0AF8">
      <w:pPr>
        <w:widowControl w:val="0"/>
        <w:spacing w:line="276" w:lineRule="auto"/>
        <w:ind w:left="850" w:right="851"/>
        <w:jc w:val="both"/>
        <w:rPr>
          <w:rFonts w:ascii="Arial" w:eastAsia="Arial" w:hAnsi="Arial" w:cs="Arial"/>
          <w:color w:val="000000" w:themeColor="text1"/>
          <w:sz w:val="19"/>
          <w:szCs w:val="19"/>
        </w:rPr>
      </w:pPr>
    </w:p>
    <w:p w14:paraId="75AD60B9" w14:textId="77777777" w:rsidR="00DC0AF8" w:rsidRPr="00F278D5" w:rsidRDefault="00DC0AF8" w:rsidP="00DC0AF8">
      <w:pPr>
        <w:widowControl w:val="0"/>
        <w:spacing w:line="276" w:lineRule="auto"/>
        <w:ind w:left="850" w:right="851"/>
        <w:jc w:val="both"/>
        <w:rPr>
          <w:rFonts w:ascii="Arial" w:eastAsia="Arial" w:hAnsi="Arial" w:cs="Arial"/>
          <w:color w:val="000000" w:themeColor="text1"/>
          <w:sz w:val="19"/>
          <w:szCs w:val="19"/>
        </w:rPr>
      </w:pPr>
      <w:r w:rsidRPr="00F278D5">
        <w:rPr>
          <w:rFonts w:ascii="Arial" w:eastAsia="Arial" w:hAnsi="Arial" w:cs="Arial"/>
          <w:color w:val="000000" w:themeColor="text1"/>
          <w:sz w:val="19"/>
          <w:szCs w:val="19"/>
        </w:rPr>
        <w:t xml:space="preserve">III. Si las personas físicas y morales que reciban y ejerzan recursos públicos o realicen actos de autoridad, se encuentran sujetos a una norma jurídica que prevea la rendición de cuentas a quien se los otorga o supervisa la realización de los actos. </w:t>
      </w:r>
    </w:p>
    <w:p w14:paraId="176482EF" w14:textId="77777777" w:rsidR="00DC0AF8" w:rsidRPr="00F278D5" w:rsidRDefault="00DC0AF8" w:rsidP="00DC0AF8">
      <w:pPr>
        <w:widowControl w:val="0"/>
        <w:spacing w:line="276" w:lineRule="auto"/>
        <w:ind w:left="1134" w:right="851"/>
        <w:jc w:val="both"/>
        <w:rPr>
          <w:rFonts w:ascii="Arial" w:eastAsia="Arial" w:hAnsi="Arial" w:cs="Arial"/>
          <w:color w:val="000000" w:themeColor="text1"/>
          <w:sz w:val="19"/>
          <w:szCs w:val="19"/>
        </w:rPr>
      </w:pPr>
    </w:p>
    <w:p w14:paraId="05FFC9B1"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r w:rsidRPr="00F278D5">
        <w:rPr>
          <w:rFonts w:ascii="Arial" w:eastAsia="Arial" w:hAnsi="Arial" w:cs="Arial"/>
          <w:color w:val="000000" w:themeColor="text1"/>
          <w:sz w:val="19"/>
          <w:szCs w:val="19"/>
        </w:rPr>
        <w:t xml:space="preserve">Cuando las personas físicas y morales que reciban y ejerzan recursos públicos o realicen actos de autoridad cumplan con alguno de los supuestos antes mencionados, cumplirán con las obligaciones de transparencia y acceso a la información a través de los sujetos obligados que les otorgan los recursos o los facultan para realizar los actos de autoridad. </w:t>
      </w:r>
    </w:p>
    <w:p w14:paraId="40E94DFD"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p>
    <w:p w14:paraId="5161AFB6"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r w:rsidRPr="00F278D5">
        <w:rPr>
          <w:rFonts w:ascii="Arial" w:eastAsia="Arial" w:hAnsi="Arial" w:cs="Arial"/>
          <w:b/>
          <w:color w:val="000000" w:themeColor="text1"/>
          <w:sz w:val="19"/>
          <w:szCs w:val="19"/>
        </w:rPr>
        <w:t xml:space="preserve">Séptimo. </w:t>
      </w:r>
      <w:r w:rsidRPr="00F278D5">
        <w:rPr>
          <w:rFonts w:ascii="Arial" w:eastAsia="Arial" w:hAnsi="Arial" w:cs="Arial"/>
          <w:color w:val="000000" w:themeColor="text1"/>
          <w:sz w:val="19"/>
          <w:szCs w:val="19"/>
        </w:rPr>
        <w:t>En los casos en que las personas físicas o morales que reciban y ejerzan recursos públicos, sean beneficiarios de programas sociales, se tendrán por cumplidas sus obligaciones de transparencia y acceso a la información, con la información que publique el sujeto obligado que les asigne los recursos, en términos de los artículos 70 fracción XV de la Ley General y 69 fracciones IX inciso a), XI inciso c) de la Ley Federal.</w:t>
      </w:r>
    </w:p>
    <w:p w14:paraId="2B9EB9ED"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r w:rsidRPr="00F278D5">
        <w:rPr>
          <w:rFonts w:ascii="Arial" w:eastAsia="Arial" w:hAnsi="Arial" w:cs="Arial"/>
          <w:color w:val="000000" w:themeColor="text1"/>
          <w:sz w:val="19"/>
          <w:szCs w:val="19"/>
        </w:rPr>
        <w:t xml:space="preserve"> </w:t>
      </w:r>
    </w:p>
    <w:p w14:paraId="034F86A7"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r w:rsidRPr="00F278D5">
        <w:rPr>
          <w:rFonts w:ascii="Arial" w:eastAsia="Arial" w:hAnsi="Arial" w:cs="Arial"/>
          <w:b/>
          <w:color w:val="000000" w:themeColor="text1"/>
          <w:sz w:val="19"/>
          <w:szCs w:val="19"/>
        </w:rPr>
        <w:t>Octavo.</w:t>
      </w:r>
      <w:r w:rsidRPr="00F278D5">
        <w:rPr>
          <w:rFonts w:ascii="Arial" w:eastAsia="Arial" w:hAnsi="Arial" w:cs="Arial"/>
          <w:color w:val="000000" w:themeColor="text1"/>
          <w:sz w:val="19"/>
          <w:szCs w:val="19"/>
        </w:rPr>
        <w:t xml:space="preserve"> Las personas físicas o morales que reciban y ejerzan recursos públicos o realicen actos de autoridad, por parte de varios sujetos obligados y que se encuentren en alguno de los supuestos del lineamiento sexto, cumplirán sus obligaciones de manera separada, </w:t>
      </w:r>
      <w:r w:rsidRPr="00F278D5">
        <w:rPr>
          <w:rFonts w:ascii="Arial" w:eastAsia="Arial" w:hAnsi="Arial" w:cs="Arial"/>
          <w:color w:val="000000" w:themeColor="text1"/>
          <w:sz w:val="19"/>
          <w:szCs w:val="19"/>
        </w:rPr>
        <w:lastRenderedPageBreak/>
        <w:t xml:space="preserve">a través de cada uno de los sujetos obligados que se los otorguen. </w:t>
      </w:r>
    </w:p>
    <w:p w14:paraId="1CED6812"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p>
    <w:p w14:paraId="5ABE453E" w14:textId="77777777" w:rsidR="00DC0AF8" w:rsidRPr="00F278D5" w:rsidRDefault="00DC0AF8" w:rsidP="00DC0AF8">
      <w:pPr>
        <w:widowControl w:val="0"/>
        <w:spacing w:line="276" w:lineRule="auto"/>
        <w:ind w:left="567" w:right="851"/>
        <w:jc w:val="both"/>
        <w:rPr>
          <w:rFonts w:ascii="Arial" w:eastAsia="Arial" w:hAnsi="Arial" w:cs="Arial"/>
          <w:color w:val="000000" w:themeColor="text1"/>
          <w:sz w:val="19"/>
          <w:szCs w:val="19"/>
        </w:rPr>
      </w:pPr>
      <w:r w:rsidRPr="00F278D5">
        <w:rPr>
          <w:rFonts w:ascii="Arial" w:eastAsia="Arial" w:hAnsi="Arial" w:cs="Arial"/>
          <w:b/>
          <w:color w:val="000000" w:themeColor="text1"/>
          <w:sz w:val="19"/>
          <w:szCs w:val="19"/>
        </w:rPr>
        <w:t xml:space="preserve">Noveno. </w:t>
      </w:r>
      <w:r w:rsidRPr="00F278D5">
        <w:rPr>
          <w:rFonts w:ascii="Arial" w:eastAsia="Arial" w:hAnsi="Arial" w:cs="Arial"/>
          <w:color w:val="000000" w:themeColor="text1"/>
          <w:sz w:val="19"/>
          <w:szCs w:val="19"/>
        </w:rPr>
        <w:t>Las personas físicas o morales que reciban y ejerzan recursos públicos o realicen actos de autoridad, que no se encuentren en alguno de los supuestos que establecen los lineamientos sexto y séptimo, deberán cumplir con sus obligaciones de transparencia y acceso a la información de manera directa, de conformidad con las disposiciones que establecen las leyes general y federal de transparencia.”</w:t>
      </w:r>
    </w:p>
    <w:p w14:paraId="50735009" w14:textId="77777777" w:rsidR="00DC0AF8" w:rsidRPr="00DC2D13" w:rsidRDefault="00DC0AF8" w:rsidP="00DC0AF8">
      <w:pPr>
        <w:widowControl w:val="0"/>
        <w:spacing w:line="276" w:lineRule="auto"/>
        <w:ind w:left="851" w:right="993"/>
        <w:jc w:val="both"/>
        <w:rPr>
          <w:rFonts w:ascii="Arial" w:eastAsia="Arial" w:hAnsi="Arial" w:cs="Arial"/>
          <w:color w:val="000000" w:themeColor="text1"/>
          <w:sz w:val="22"/>
          <w:szCs w:val="22"/>
        </w:rPr>
      </w:pPr>
    </w:p>
    <w:p w14:paraId="72D2546A" w14:textId="7DC8B90C"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Con base en lo anterior, y tomando como referencia la información proporcionada por los sujetos obligados del ámbito federal que reportaron haber otorgado recursos públicos o encomendado actos de autoridad a personas físicas y morales</w:t>
      </w:r>
      <w:r>
        <w:rPr>
          <w:rFonts w:ascii="Arial" w:eastAsia="Arial" w:hAnsi="Arial" w:cs="Arial"/>
          <w:color w:val="000000" w:themeColor="text1"/>
          <w:sz w:val="22"/>
          <w:szCs w:val="22"/>
        </w:rPr>
        <w:t xml:space="preserve"> y aquella </w:t>
      </w:r>
      <w:r w:rsidRPr="00BF3E7E">
        <w:rPr>
          <w:rFonts w:ascii="Arial" w:eastAsia="Arial" w:hAnsi="Arial" w:cs="Arial"/>
          <w:color w:val="000000" w:themeColor="text1"/>
          <w:sz w:val="22"/>
          <w:szCs w:val="22"/>
        </w:rPr>
        <w:t xml:space="preserve">que se obtuvo del SIPOT de la Plataforma Nacional de Transparencia, correspondiente al ejercicio </w:t>
      </w:r>
      <w:r w:rsidRPr="00EE7AE1">
        <w:rPr>
          <w:rFonts w:ascii="Arial" w:eastAsia="Arial" w:hAnsi="Arial" w:cs="Arial"/>
          <w:color w:val="000000" w:themeColor="text1"/>
          <w:sz w:val="22"/>
          <w:szCs w:val="22"/>
        </w:rPr>
        <w:t xml:space="preserve">fiscal </w:t>
      </w:r>
      <w:r w:rsidR="0027147F" w:rsidRPr="00EE7AE1">
        <w:rPr>
          <w:rFonts w:ascii="Arial" w:eastAsia="Arial" w:hAnsi="Arial" w:cs="Arial"/>
          <w:color w:val="000000" w:themeColor="text1"/>
          <w:sz w:val="22"/>
          <w:szCs w:val="22"/>
        </w:rPr>
        <w:t>202</w:t>
      </w:r>
      <w:r w:rsidR="00BA5B4F" w:rsidRPr="00EE7AE1">
        <w:rPr>
          <w:rFonts w:ascii="Arial" w:eastAsia="Arial" w:hAnsi="Arial" w:cs="Arial"/>
          <w:color w:val="000000" w:themeColor="text1"/>
          <w:sz w:val="22"/>
          <w:szCs w:val="22"/>
        </w:rPr>
        <w:t>2</w:t>
      </w:r>
      <w:r w:rsidRPr="00EE7AE1">
        <w:rPr>
          <w:rFonts w:ascii="Arial" w:eastAsia="Arial" w:hAnsi="Arial" w:cs="Arial"/>
          <w:color w:val="000000" w:themeColor="text1"/>
          <w:sz w:val="22"/>
          <w:szCs w:val="22"/>
        </w:rPr>
        <w:t>,</w:t>
      </w:r>
      <w:r w:rsidRPr="00BF3E7E">
        <w:rPr>
          <w:rFonts w:ascii="Arial" w:eastAsia="Arial" w:hAnsi="Arial" w:cs="Arial"/>
          <w:color w:val="000000" w:themeColor="text1"/>
          <w:sz w:val="22"/>
          <w:szCs w:val="22"/>
        </w:rPr>
        <w:t xml:space="preserve"> la Dirección General de Enlace con Autoridades Laborales, Sindicatos, Universidades,</w:t>
      </w:r>
      <w:r w:rsidRPr="00DC2D13">
        <w:rPr>
          <w:rFonts w:ascii="Arial" w:eastAsia="Arial" w:hAnsi="Arial" w:cs="Arial"/>
          <w:color w:val="000000" w:themeColor="text1"/>
          <w:sz w:val="22"/>
          <w:szCs w:val="22"/>
        </w:rPr>
        <w:t xml:space="preserve"> Personas Físicas y Morales realizó un análisis de la misma para verificar si el registro de personas físicas y morales, se adecuaba a las hipótesis normativas previstas en los numerales Sexto, Séptimo, Octavo y Noveno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antes referidos, en los términos siguientes:</w:t>
      </w:r>
    </w:p>
    <w:p w14:paraId="09FD5CF9"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57E476AD" w14:textId="77777777" w:rsidR="00DC0AF8" w:rsidRPr="00DC2D13" w:rsidRDefault="00DC0AF8" w:rsidP="00DC0AF8">
      <w:pPr>
        <w:numPr>
          <w:ilvl w:val="0"/>
          <w:numId w:val="1"/>
        </w:numPr>
        <w:spacing w:line="276" w:lineRule="auto"/>
        <w:ind w:left="284" w:hanging="283"/>
        <w:contextualSpacing/>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PERSONAS FÍSICAS Y MORALES QUE RECIBIERON Y EJERCIERON RECURSOS PÚBLICOS Y QUE REALIZAN ACTOS DE AUTORIDAD, QUE DEBEN CUMPLIR CON SUS OBLIGACIONES DE TRANSPARENCIA A TRAVÉS DEL SUJETO OBLIGADO QUE SE LOS OTORGA.</w:t>
      </w:r>
    </w:p>
    <w:p w14:paraId="72A9A9DB" w14:textId="77777777" w:rsidR="00DC0AF8" w:rsidRPr="00DC2D13" w:rsidRDefault="00DC0AF8" w:rsidP="00DC0AF8">
      <w:pPr>
        <w:spacing w:line="276" w:lineRule="auto"/>
        <w:ind w:left="1"/>
        <w:jc w:val="both"/>
        <w:rPr>
          <w:rFonts w:ascii="Arial" w:eastAsia="Arial" w:hAnsi="Arial" w:cs="Arial"/>
          <w:color w:val="000000" w:themeColor="text1"/>
          <w:sz w:val="22"/>
          <w:szCs w:val="22"/>
        </w:rPr>
      </w:pPr>
    </w:p>
    <w:p w14:paraId="71E61CAF" w14:textId="77777777" w:rsidR="00DC0AF8" w:rsidRPr="00DC2D13" w:rsidRDefault="00DC0AF8" w:rsidP="00DC0AF8">
      <w:pPr>
        <w:spacing w:line="276" w:lineRule="auto"/>
        <w:ind w:left="1"/>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En relación con el Sexto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se advierte que las personas físicas y morales que se adecuen a cualquiera de las hipótesis ahí descritas, deberán cumplir con sus obligaciones </w:t>
      </w:r>
      <w:r>
        <w:rPr>
          <w:rFonts w:ascii="Arial" w:eastAsia="Arial" w:hAnsi="Arial" w:cs="Arial"/>
          <w:color w:val="000000" w:themeColor="text1"/>
          <w:sz w:val="22"/>
          <w:szCs w:val="22"/>
        </w:rPr>
        <w:t xml:space="preserve">de transparencia, </w:t>
      </w:r>
      <w:r w:rsidRPr="00DC2D13">
        <w:rPr>
          <w:rFonts w:ascii="Arial" w:eastAsia="Arial" w:hAnsi="Arial" w:cs="Arial"/>
          <w:color w:val="000000" w:themeColor="text1"/>
          <w:sz w:val="22"/>
          <w:szCs w:val="22"/>
        </w:rPr>
        <w:t>a través del sujeto obligado que les otorgó el recurso público o les encomendó el acto de autoridad. Para determinar lo anterior se llevó a cabo lo siguiente:</w:t>
      </w:r>
    </w:p>
    <w:p w14:paraId="23E75598" w14:textId="77777777" w:rsidR="00DC0AF8" w:rsidRPr="00DC2D13" w:rsidRDefault="00DC0AF8" w:rsidP="00DC0AF8">
      <w:pPr>
        <w:spacing w:line="276" w:lineRule="auto"/>
        <w:ind w:left="1"/>
        <w:jc w:val="both"/>
        <w:rPr>
          <w:rFonts w:ascii="Arial" w:eastAsia="Arial" w:hAnsi="Arial" w:cs="Arial"/>
          <w:color w:val="000000" w:themeColor="text1"/>
          <w:sz w:val="22"/>
          <w:szCs w:val="22"/>
        </w:rPr>
      </w:pPr>
    </w:p>
    <w:p w14:paraId="7CCB70F9" w14:textId="77777777" w:rsidR="00DC0AF8" w:rsidRPr="00DC2D13" w:rsidRDefault="00DC0AF8" w:rsidP="00DC0AF8">
      <w:pPr>
        <w:numPr>
          <w:ilvl w:val="0"/>
          <w:numId w:val="2"/>
        </w:numPr>
        <w:spacing w:line="276" w:lineRule="auto"/>
        <w:ind w:left="720" w:hanging="371"/>
        <w:contextualSpacing/>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Recabada la información remitida por los sujetos obligados del ámbito federal, se analizó detalladamente cada uno de los registros proporcionados, a efecto de determinar si las personas físicas y morales reportadas, según lo manifestado por el propio sujeto obligado, cumplen con mecanismos de rendición de cuentas instrumentados por la institución que otorgó recursos públicos.</w:t>
      </w:r>
    </w:p>
    <w:p w14:paraId="23B9E89C" w14:textId="77777777" w:rsidR="00DC0AF8" w:rsidRPr="00DC2D13" w:rsidRDefault="00DC0AF8" w:rsidP="00DC0AF8">
      <w:pPr>
        <w:spacing w:line="276" w:lineRule="auto"/>
        <w:ind w:left="720"/>
        <w:contextualSpacing/>
        <w:jc w:val="both"/>
        <w:rPr>
          <w:rFonts w:ascii="Arial" w:eastAsia="Arial" w:hAnsi="Arial" w:cs="Arial"/>
          <w:color w:val="000000" w:themeColor="text1"/>
          <w:sz w:val="22"/>
          <w:szCs w:val="22"/>
        </w:rPr>
      </w:pPr>
    </w:p>
    <w:p w14:paraId="2E1D6EBB" w14:textId="77777777" w:rsidR="00DC0AF8" w:rsidRPr="00DC2D13" w:rsidRDefault="00DC0AF8" w:rsidP="00DC0AF8">
      <w:pPr>
        <w:numPr>
          <w:ilvl w:val="0"/>
          <w:numId w:val="2"/>
        </w:numPr>
        <w:spacing w:line="276" w:lineRule="auto"/>
        <w:ind w:left="709"/>
        <w:contextualSpacing/>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Se revisó el monto de financiamiento público otorgado a las personas físicas y morales reportadas a efecto de identificar a aquellas que se adecuan a la hipótesis prevista en la fracción II del numeral sexto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w:t>
      </w:r>
    </w:p>
    <w:p w14:paraId="3A2DCF68" w14:textId="77777777" w:rsidR="00DC0AF8" w:rsidRPr="00DC2D13" w:rsidRDefault="00DC0AF8" w:rsidP="00DC0AF8">
      <w:pPr>
        <w:pStyle w:val="Prrafodelista"/>
        <w:spacing w:line="276" w:lineRule="auto"/>
        <w:rPr>
          <w:rFonts w:ascii="Arial" w:eastAsia="Arial" w:hAnsi="Arial" w:cs="Arial"/>
          <w:color w:val="000000" w:themeColor="text1"/>
          <w:sz w:val="22"/>
          <w:szCs w:val="22"/>
        </w:rPr>
      </w:pPr>
    </w:p>
    <w:p w14:paraId="0A7A8999" w14:textId="7EFE228F" w:rsidR="00DC0AF8" w:rsidRPr="00DC2D13" w:rsidRDefault="00DC0AF8" w:rsidP="00DC0AF8">
      <w:pPr>
        <w:spacing w:line="276" w:lineRule="auto"/>
        <w:ind w:left="709"/>
        <w:contextualSpacing/>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Cabe mencionar que el cálculo </w:t>
      </w:r>
      <w:r w:rsidRPr="009D50FF">
        <w:rPr>
          <w:rFonts w:ascii="Arial" w:eastAsia="Arial" w:hAnsi="Arial" w:cs="Arial"/>
          <w:color w:val="000000" w:themeColor="text1"/>
          <w:sz w:val="22"/>
          <w:szCs w:val="22"/>
        </w:rPr>
        <w:t xml:space="preserve">se hizo con el valor de la UMA al momento de hacer la revisión, mismo que </w:t>
      </w:r>
      <w:r w:rsidRPr="00881843">
        <w:rPr>
          <w:rFonts w:ascii="Arial" w:eastAsia="Arial" w:hAnsi="Arial" w:cs="Arial"/>
          <w:color w:val="000000" w:themeColor="text1"/>
          <w:sz w:val="22"/>
          <w:szCs w:val="22"/>
        </w:rPr>
        <w:t xml:space="preserve">ascendía </w:t>
      </w:r>
      <w:r w:rsidRPr="0027147F">
        <w:rPr>
          <w:rFonts w:ascii="Arial" w:eastAsia="Arial" w:hAnsi="Arial" w:cs="Arial"/>
          <w:color w:val="000000" w:themeColor="text1"/>
          <w:sz w:val="22"/>
          <w:szCs w:val="22"/>
        </w:rPr>
        <w:t>a $</w:t>
      </w:r>
      <w:r w:rsidR="00B4147D" w:rsidRPr="00B716B0">
        <w:rPr>
          <w:rFonts w:ascii="Arial" w:eastAsia="Arial" w:hAnsi="Arial" w:cs="Arial"/>
          <w:color w:val="000000" w:themeColor="text1"/>
          <w:sz w:val="22"/>
          <w:szCs w:val="22"/>
        </w:rPr>
        <w:t>1’30</w:t>
      </w:r>
      <w:r w:rsidR="00511661" w:rsidRPr="00B716B0">
        <w:rPr>
          <w:rFonts w:ascii="Arial" w:eastAsia="Arial" w:hAnsi="Arial" w:cs="Arial"/>
          <w:color w:val="000000" w:themeColor="text1"/>
          <w:sz w:val="22"/>
          <w:szCs w:val="22"/>
        </w:rPr>
        <w:t>8</w:t>
      </w:r>
      <w:r w:rsidRPr="00B716B0">
        <w:rPr>
          <w:rFonts w:ascii="Arial" w:eastAsia="Arial" w:hAnsi="Arial" w:cs="Arial"/>
          <w:color w:val="000000" w:themeColor="text1"/>
          <w:sz w:val="22"/>
          <w:szCs w:val="22"/>
        </w:rPr>
        <w:t>,</w:t>
      </w:r>
      <w:r w:rsidR="00B4147D" w:rsidRPr="00B716B0">
        <w:rPr>
          <w:rFonts w:ascii="Arial" w:eastAsia="Arial" w:hAnsi="Arial" w:cs="Arial"/>
          <w:color w:val="000000" w:themeColor="text1"/>
          <w:sz w:val="22"/>
          <w:szCs w:val="22"/>
        </w:rPr>
        <w:t>59</w:t>
      </w:r>
      <w:r w:rsidR="00511661" w:rsidRPr="00B716B0">
        <w:rPr>
          <w:rFonts w:ascii="Arial" w:eastAsia="Arial" w:hAnsi="Arial" w:cs="Arial"/>
          <w:color w:val="000000" w:themeColor="text1"/>
          <w:sz w:val="22"/>
          <w:szCs w:val="22"/>
        </w:rPr>
        <w:t>2</w:t>
      </w:r>
      <w:r w:rsidR="00B4147D" w:rsidRPr="00B716B0">
        <w:rPr>
          <w:rFonts w:ascii="Arial" w:eastAsia="Arial" w:hAnsi="Arial" w:cs="Arial"/>
          <w:color w:val="000000" w:themeColor="text1"/>
          <w:sz w:val="22"/>
          <w:szCs w:val="22"/>
        </w:rPr>
        <w:t xml:space="preserve">.00 (un millón trescientos ocho </w:t>
      </w:r>
      <w:r w:rsidRPr="00B716B0">
        <w:rPr>
          <w:rFonts w:ascii="Arial" w:eastAsia="Arial" w:hAnsi="Arial" w:cs="Arial"/>
          <w:color w:val="000000" w:themeColor="text1"/>
          <w:sz w:val="22"/>
          <w:szCs w:val="22"/>
        </w:rPr>
        <w:t xml:space="preserve">mil </w:t>
      </w:r>
      <w:r w:rsidR="00B4147D" w:rsidRPr="00B716B0">
        <w:rPr>
          <w:rFonts w:ascii="Arial" w:eastAsia="Arial" w:hAnsi="Arial" w:cs="Arial"/>
          <w:color w:val="000000" w:themeColor="text1"/>
          <w:sz w:val="22"/>
          <w:szCs w:val="22"/>
        </w:rPr>
        <w:t>quinientos noventa</w:t>
      </w:r>
      <w:r w:rsidRPr="00B716B0">
        <w:rPr>
          <w:rFonts w:ascii="Arial" w:eastAsia="Arial" w:hAnsi="Arial" w:cs="Arial"/>
          <w:color w:val="000000" w:themeColor="text1"/>
          <w:sz w:val="22"/>
          <w:szCs w:val="22"/>
        </w:rPr>
        <w:t xml:space="preserve"> y </w:t>
      </w:r>
      <w:r w:rsidR="00511661" w:rsidRPr="00B716B0">
        <w:rPr>
          <w:rFonts w:ascii="Arial" w:eastAsia="Arial" w:hAnsi="Arial" w:cs="Arial"/>
          <w:color w:val="000000" w:themeColor="text1"/>
          <w:sz w:val="22"/>
          <w:szCs w:val="22"/>
        </w:rPr>
        <w:t>dos</w:t>
      </w:r>
      <w:r w:rsidRPr="00B716B0">
        <w:rPr>
          <w:rFonts w:ascii="Arial" w:eastAsia="Arial" w:hAnsi="Arial" w:cs="Arial"/>
          <w:color w:val="000000" w:themeColor="text1"/>
          <w:sz w:val="22"/>
          <w:szCs w:val="22"/>
        </w:rPr>
        <w:t xml:space="preserve"> pesos 00/100 M.N.),</w:t>
      </w:r>
      <w:r>
        <w:rPr>
          <w:rFonts w:ascii="Arial" w:eastAsia="Arial" w:hAnsi="Arial" w:cs="Arial"/>
          <w:color w:val="000000" w:themeColor="text1"/>
          <w:sz w:val="22"/>
          <w:szCs w:val="22"/>
        </w:rPr>
        <w:t xml:space="preserve"> </w:t>
      </w:r>
      <w:r w:rsidRPr="009D50FF">
        <w:rPr>
          <w:rFonts w:ascii="Arial" w:eastAsia="Arial" w:hAnsi="Arial" w:cs="Arial"/>
          <w:color w:val="000000" w:themeColor="text1"/>
          <w:sz w:val="22"/>
          <w:szCs w:val="22"/>
        </w:rPr>
        <w:t>cantidad que puede variar en las actualizaciones anuales, pues debe tomarse</w:t>
      </w:r>
      <w:r w:rsidRPr="00DC2D13">
        <w:rPr>
          <w:rFonts w:ascii="Arial" w:eastAsia="Arial" w:hAnsi="Arial" w:cs="Arial"/>
          <w:color w:val="000000" w:themeColor="text1"/>
          <w:sz w:val="22"/>
          <w:szCs w:val="22"/>
        </w:rPr>
        <w:t xml:space="preserve"> en cuenta el valor de la UMA al momento de realizar el análisis para la actualización del padrón.</w:t>
      </w:r>
      <w:r w:rsidRPr="00DC2D13">
        <w:rPr>
          <w:rStyle w:val="Refdenotaalpie"/>
          <w:rFonts w:ascii="Arial" w:eastAsia="Arial" w:hAnsi="Arial" w:cs="Arial"/>
          <w:color w:val="000000" w:themeColor="text1"/>
          <w:sz w:val="22"/>
          <w:szCs w:val="22"/>
        </w:rPr>
        <w:footnoteReference w:id="1"/>
      </w:r>
    </w:p>
    <w:p w14:paraId="19FD6AA2" w14:textId="77777777" w:rsidR="00DC0AF8" w:rsidRPr="00DC2D13" w:rsidRDefault="00DC0AF8" w:rsidP="00DC0AF8">
      <w:pPr>
        <w:spacing w:line="276" w:lineRule="auto"/>
        <w:rPr>
          <w:rFonts w:ascii="Arial" w:hAnsi="Arial" w:cs="Arial"/>
          <w:color w:val="000000" w:themeColor="text1"/>
          <w:sz w:val="22"/>
          <w:szCs w:val="22"/>
        </w:rPr>
      </w:pPr>
    </w:p>
    <w:p w14:paraId="29F0773C" w14:textId="77777777" w:rsidR="00DC0AF8" w:rsidRPr="00DC2D13" w:rsidRDefault="00DC0AF8" w:rsidP="00DC0AF8">
      <w:pPr>
        <w:pStyle w:val="Prrafodelista"/>
        <w:numPr>
          <w:ilvl w:val="0"/>
          <w:numId w:val="2"/>
        </w:numPr>
        <w:spacing w:line="276" w:lineRule="auto"/>
        <w:ind w:left="709"/>
        <w:jc w:val="both"/>
        <w:rPr>
          <w:rFonts w:ascii="Arial" w:hAnsi="Arial" w:cs="Arial"/>
          <w:color w:val="000000" w:themeColor="text1"/>
          <w:sz w:val="22"/>
          <w:szCs w:val="22"/>
        </w:rPr>
      </w:pPr>
      <w:r w:rsidRPr="00DC2D13">
        <w:rPr>
          <w:rFonts w:ascii="Arial" w:eastAsia="Arial" w:hAnsi="Arial" w:cs="Arial"/>
          <w:color w:val="000000" w:themeColor="text1"/>
          <w:sz w:val="22"/>
          <w:szCs w:val="22"/>
        </w:rPr>
        <w:t xml:space="preserve">Se verificó si las personas físicas o morales que recibieron recursos públicos, se encuentran sujetas a una norma jurídica que les establezca la obligación de rendir cuentas respecto de los recursos recibidos. </w:t>
      </w:r>
    </w:p>
    <w:p w14:paraId="091AFCFC" w14:textId="77777777" w:rsidR="00DC0AF8" w:rsidRPr="00DC2D13" w:rsidRDefault="00DC0AF8" w:rsidP="00DC0AF8">
      <w:pPr>
        <w:spacing w:line="276" w:lineRule="auto"/>
        <w:ind w:left="709"/>
        <w:contextualSpacing/>
        <w:jc w:val="both"/>
        <w:rPr>
          <w:rFonts w:ascii="Arial" w:eastAsia="Arial" w:hAnsi="Arial" w:cs="Arial"/>
          <w:color w:val="000000" w:themeColor="text1"/>
          <w:sz w:val="22"/>
          <w:szCs w:val="22"/>
        </w:rPr>
      </w:pPr>
    </w:p>
    <w:p w14:paraId="6B680E42" w14:textId="77777777" w:rsidR="00DC0AF8" w:rsidRPr="007C3C41"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 xml:space="preserve">Así las cosas, y toda vez que de la información </w:t>
      </w:r>
      <w:r w:rsidRPr="007C3C41">
        <w:rPr>
          <w:rFonts w:ascii="Arial" w:eastAsia="Arial" w:hAnsi="Arial" w:cs="Arial"/>
          <w:color w:val="000000" w:themeColor="text1"/>
          <w:sz w:val="22"/>
          <w:szCs w:val="22"/>
        </w:rPr>
        <w:t xml:space="preserve">proporcionada por los sujetos obligados se advirtió que las personas físicas y morales que se integran en el </w:t>
      </w:r>
      <w:r w:rsidRPr="007C3C41">
        <w:rPr>
          <w:rFonts w:ascii="Arial" w:eastAsia="Arial" w:hAnsi="Arial" w:cs="Arial"/>
          <w:b/>
          <w:color w:val="000000" w:themeColor="text1"/>
          <w:sz w:val="22"/>
          <w:szCs w:val="22"/>
        </w:rPr>
        <w:t>ANEXO 1</w:t>
      </w:r>
      <w:r w:rsidRPr="007C3C41">
        <w:rPr>
          <w:rFonts w:ascii="Arial" w:eastAsia="Arial" w:hAnsi="Arial" w:cs="Arial"/>
          <w:color w:val="000000" w:themeColor="text1"/>
          <w:sz w:val="22"/>
          <w:szCs w:val="22"/>
        </w:rPr>
        <w:t xml:space="preserve"> del presente documento, se adecuan a alguna de las hipótesis previstas en el Sexto de los Lineamientos Generales </w:t>
      </w:r>
      <w:proofErr w:type="spellStart"/>
      <w:r w:rsidRPr="007C3C41">
        <w:rPr>
          <w:rFonts w:ascii="Arial" w:eastAsia="Arial" w:hAnsi="Arial" w:cs="Arial"/>
          <w:color w:val="000000" w:themeColor="text1"/>
          <w:sz w:val="22"/>
          <w:szCs w:val="22"/>
        </w:rPr>
        <w:t>PFyM</w:t>
      </w:r>
      <w:proofErr w:type="spellEnd"/>
      <w:r w:rsidRPr="007C3C41">
        <w:rPr>
          <w:rFonts w:ascii="Arial" w:eastAsia="Arial" w:hAnsi="Arial" w:cs="Arial"/>
          <w:color w:val="000000" w:themeColor="text1"/>
          <w:sz w:val="22"/>
          <w:szCs w:val="22"/>
        </w:rPr>
        <w:t xml:space="preserve">, se advierte que </w:t>
      </w:r>
      <w:r w:rsidRPr="007C3C41">
        <w:rPr>
          <w:rFonts w:ascii="Arial" w:eastAsia="Arial" w:hAnsi="Arial" w:cs="Arial"/>
          <w:b/>
          <w:color w:val="000000" w:themeColor="text1"/>
          <w:sz w:val="22"/>
          <w:szCs w:val="22"/>
        </w:rPr>
        <w:t>deben cumplir con sus obligaciones de transparencia y acceso a la información a través del sujeto obligado que les otorga los recursos públicos</w:t>
      </w:r>
      <w:r w:rsidRPr="007C3C41">
        <w:rPr>
          <w:rFonts w:ascii="Arial" w:eastAsia="Arial" w:hAnsi="Arial" w:cs="Arial"/>
          <w:color w:val="000000" w:themeColor="text1"/>
          <w:sz w:val="22"/>
          <w:szCs w:val="22"/>
        </w:rPr>
        <w:t xml:space="preserve">. </w:t>
      </w:r>
    </w:p>
    <w:p w14:paraId="11F7FB75" w14:textId="77777777" w:rsidR="00DC0AF8" w:rsidRPr="007C3C41" w:rsidRDefault="00DC0AF8" w:rsidP="00DC0AF8">
      <w:pPr>
        <w:spacing w:line="276" w:lineRule="auto"/>
        <w:jc w:val="both"/>
        <w:rPr>
          <w:rFonts w:ascii="Arial" w:eastAsia="Arial" w:hAnsi="Arial" w:cs="Arial"/>
          <w:color w:val="000000" w:themeColor="text1"/>
          <w:sz w:val="22"/>
          <w:szCs w:val="22"/>
        </w:rPr>
      </w:pPr>
    </w:p>
    <w:p w14:paraId="7176662E" w14:textId="77777777" w:rsidR="00DC0AF8" w:rsidRPr="007C3C41" w:rsidRDefault="00DC0AF8" w:rsidP="00DC0AF8">
      <w:pPr>
        <w:pStyle w:val="Prrafodelista"/>
        <w:numPr>
          <w:ilvl w:val="0"/>
          <w:numId w:val="1"/>
        </w:numPr>
        <w:spacing w:line="276" w:lineRule="auto"/>
        <w:ind w:left="284" w:hanging="284"/>
        <w:jc w:val="both"/>
        <w:rPr>
          <w:rFonts w:ascii="Arial" w:eastAsia="Arial" w:hAnsi="Arial" w:cs="Arial"/>
          <w:b/>
          <w:color w:val="000000" w:themeColor="text1"/>
          <w:sz w:val="22"/>
          <w:szCs w:val="22"/>
        </w:rPr>
      </w:pPr>
      <w:r w:rsidRPr="007C3C41">
        <w:rPr>
          <w:rFonts w:ascii="Arial" w:eastAsia="Arial" w:hAnsi="Arial" w:cs="Arial"/>
          <w:b/>
          <w:color w:val="000000" w:themeColor="text1"/>
          <w:sz w:val="22"/>
          <w:szCs w:val="22"/>
        </w:rPr>
        <w:t>PERSONAS FÍSICAS Y MORALES QUE RECIBIERON Y EJERCIERON RECURSOS PÚBLICOS CON MOTIVO DE PROGRAMAS SOCIALES.</w:t>
      </w:r>
    </w:p>
    <w:p w14:paraId="663AF921" w14:textId="77777777" w:rsidR="00DC0AF8" w:rsidRPr="007C3C41" w:rsidRDefault="00DC0AF8" w:rsidP="00DC0AF8">
      <w:pPr>
        <w:spacing w:line="276" w:lineRule="auto"/>
        <w:ind w:left="284"/>
        <w:jc w:val="both"/>
        <w:rPr>
          <w:rFonts w:ascii="Arial" w:eastAsia="Arial" w:hAnsi="Arial" w:cs="Arial"/>
          <w:color w:val="000000" w:themeColor="text1"/>
          <w:sz w:val="22"/>
          <w:szCs w:val="22"/>
        </w:rPr>
      </w:pPr>
    </w:p>
    <w:p w14:paraId="7F746218" w14:textId="77777777" w:rsidR="00DC0AF8" w:rsidRPr="007C3C41" w:rsidRDefault="00DC0AF8" w:rsidP="00DC0AF8">
      <w:pPr>
        <w:spacing w:line="276" w:lineRule="auto"/>
        <w:jc w:val="both"/>
        <w:rPr>
          <w:rFonts w:ascii="Arial" w:eastAsia="Arial" w:hAnsi="Arial" w:cs="Arial"/>
          <w:color w:val="000000" w:themeColor="text1"/>
          <w:sz w:val="22"/>
          <w:szCs w:val="22"/>
        </w:rPr>
      </w:pPr>
      <w:r w:rsidRPr="007C3C41">
        <w:rPr>
          <w:rFonts w:ascii="Arial" w:eastAsia="Arial" w:hAnsi="Arial" w:cs="Arial"/>
          <w:color w:val="000000" w:themeColor="text1"/>
          <w:sz w:val="22"/>
          <w:szCs w:val="22"/>
        </w:rPr>
        <w:t xml:space="preserve">En relación con las personas físicas y morales que reciben y ejercen recursos públicos como beneficiarios de programas sociales se analizó la información a fin de identificar aquellas que se ubican en el supuesto normativo previsto en el numeral séptimo de los Lineamientos Generales </w:t>
      </w:r>
      <w:proofErr w:type="spellStart"/>
      <w:r w:rsidRPr="007C3C41">
        <w:rPr>
          <w:rFonts w:ascii="Arial" w:eastAsia="Arial" w:hAnsi="Arial" w:cs="Arial"/>
          <w:color w:val="000000" w:themeColor="text1"/>
          <w:sz w:val="22"/>
          <w:szCs w:val="22"/>
        </w:rPr>
        <w:t>PFyM</w:t>
      </w:r>
      <w:proofErr w:type="spellEnd"/>
      <w:r w:rsidRPr="007C3C41">
        <w:rPr>
          <w:rFonts w:ascii="Arial" w:eastAsia="Arial" w:hAnsi="Arial" w:cs="Arial"/>
          <w:color w:val="000000" w:themeColor="text1"/>
          <w:sz w:val="22"/>
          <w:szCs w:val="22"/>
        </w:rPr>
        <w:t xml:space="preserve">. </w:t>
      </w:r>
    </w:p>
    <w:p w14:paraId="2EE41D45" w14:textId="77777777" w:rsidR="00DC0AF8" w:rsidRPr="007C3C41" w:rsidRDefault="00DC0AF8" w:rsidP="00DC0AF8">
      <w:pPr>
        <w:spacing w:line="276" w:lineRule="auto"/>
        <w:jc w:val="both"/>
        <w:rPr>
          <w:rFonts w:ascii="Arial" w:eastAsia="Arial" w:hAnsi="Arial" w:cs="Arial"/>
          <w:color w:val="000000" w:themeColor="text1"/>
          <w:sz w:val="22"/>
          <w:szCs w:val="22"/>
        </w:rPr>
      </w:pPr>
    </w:p>
    <w:p w14:paraId="00439EEF" w14:textId="77777777" w:rsidR="00DC0AF8" w:rsidRDefault="00DC0AF8" w:rsidP="00DC0AF8">
      <w:pPr>
        <w:spacing w:line="276" w:lineRule="auto"/>
        <w:jc w:val="both"/>
        <w:rPr>
          <w:rFonts w:ascii="Arial" w:eastAsia="Arial" w:hAnsi="Arial" w:cs="Arial"/>
          <w:color w:val="000000" w:themeColor="text1"/>
          <w:sz w:val="22"/>
          <w:szCs w:val="22"/>
        </w:rPr>
      </w:pPr>
      <w:r w:rsidRPr="007C3C41">
        <w:rPr>
          <w:rFonts w:ascii="Arial" w:eastAsia="Arial" w:hAnsi="Arial" w:cs="Arial"/>
          <w:color w:val="000000" w:themeColor="text1"/>
          <w:sz w:val="22"/>
          <w:szCs w:val="22"/>
        </w:rPr>
        <w:t xml:space="preserve">En este sentido, en el </w:t>
      </w:r>
      <w:r w:rsidRPr="007C3C41">
        <w:rPr>
          <w:rFonts w:ascii="Arial" w:eastAsia="Arial" w:hAnsi="Arial" w:cs="Arial"/>
          <w:b/>
          <w:color w:val="000000" w:themeColor="text1"/>
          <w:sz w:val="22"/>
          <w:szCs w:val="22"/>
        </w:rPr>
        <w:t>ANEXO 2</w:t>
      </w:r>
      <w:r w:rsidRPr="007C3C41">
        <w:rPr>
          <w:rFonts w:ascii="Arial" w:eastAsia="Arial" w:hAnsi="Arial" w:cs="Arial"/>
          <w:color w:val="000000" w:themeColor="text1"/>
          <w:sz w:val="22"/>
          <w:szCs w:val="22"/>
        </w:rPr>
        <w:t>, se enlistan las personas físicas y morales que son beneficiarias de programas sociales, de las cuales se tendrán por cumplidas sus obligaciones de transparencia y acceso a la información</w:t>
      </w:r>
      <w:r w:rsidRPr="00DC2D13">
        <w:rPr>
          <w:rFonts w:ascii="Arial" w:eastAsia="Arial" w:hAnsi="Arial" w:cs="Arial"/>
          <w:color w:val="000000" w:themeColor="text1"/>
          <w:sz w:val="22"/>
          <w:szCs w:val="22"/>
        </w:rPr>
        <w:t>, con la información que publique el sujeto obligado que les asignó los recursos, en términos de los artículos 70 fracción XV de la Ley General y 69 fracciones IX inciso a), XI inciso c) de la Ley Federal.</w:t>
      </w:r>
    </w:p>
    <w:p w14:paraId="3D34F983" w14:textId="77777777" w:rsidR="00DC0AF8" w:rsidRDefault="00DC0AF8" w:rsidP="00DC0AF8">
      <w:pPr>
        <w:spacing w:line="276" w:lineRule="auto"/>
        <w:jc w:val="both"/>
        <w:rPr>
          <w:rFonts w:ascii="Arial" w:eastAsia="Arial" w:hAnsi="Arial" w:cs="Arial"/>
          <w:color w:val="000000" w:themeColor="text1"/>
          <w:sz w:val="22"/>
          <w:szCs w:val="22"/>
        </w:rPr>
      </w:pPr>
    </w:p>
    <w:p w14:paraId="3454E365" w14:textId="5F23B18B" w:rsidR="00DC0AF8" w:rsidRDefault="00DC0AF8" w:rsidP="00DC0AF8">
      <w:pPr>
        <w:spacing w:line="276"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 importante mencionar que en algunos casos, los sujetos obligados publicaron sus padrones de beneficiarios sin mencionar el nombre de la persona que recibe el apoyo, en </w:t>
      </w:r>
      <w:r>
        <w:rPr>
          <w:rFonts w:ascii="Arial" w:eastAsia="Arial" w:hAnsi="Arial" w:cs="Arial"/>
          <w:color w:val="000000" w:themeColor="text1"/>
          <w:sz w:val="22"/>
          <w:szCs w:val="22"/>
        </w:rPr>
        <w:lastRenderedPageBreak/>
        <w:t xml:space="preserve">razón de que éstos los consideran datos personales, dado </w:t>
      </w:r>
      <w:r w:rsidR="004A7A63">
        <w:rPr>
          <w:rFonts w:ascii="Arial" w:eastAsia="Arial" w:hAnsi="Arial" w:cs="Arial"/>
          <w:color w:val="000000" w:themeColor="text1"/>
          <w:sz w:val="22"/>
          <w:szCs w:val="22"/>
        </w:rPr>
        <w:t xml:space="preserve">que se trata de menores de </w:t>
      </w:r>
      <w:r w:rsidR="004A7A63" w:rsidRPr="004A7A63">
        <w:rPr>
          <w:rFonts w:ascii="Arial" w:eastAsia="Arial" w:hAnsi="Arial" w:cs="Arial"/>
          <w:color w:val="000000" w:themeColor="text1"/>
          <w:sz w:val="22"/>
          <w:szCs w:val="22"/>
        </w:rPr>
        <w:t>edad</w:t>
      </w:r>
      <w:r w:rsidRPr="004A7A63">
        <w:rPr>
          <w:rFonts w:ascii="Arial" w:eastAsia="Arial" w:hAnsi="Arial" w:cs="Arial"/>
          <w:color w:val="000000" w:themeColor="text1"/>
          <w:sz w:val="22"/>
          <w:szCs w:val="22"/>
        </w:rPr>
        <w:t>. En estos casos, aun cuando no aparece el nombre, se integraron los registros a la base de datos para fines estadísticos.</w:t>
      </w:r>
      <w:r>
        <w:rPr>
          <w:rFonts w:ascii="Arial" w:eastAsia="Arial" w:hAnsi="Arial" w:cs="Arial"/>
          <w:color w:val="000000" w:themeColor="text1"/>
          <w:sz w:val="22"/>
          <w:szCs w:val="22"/>
        </w:rPr>
        <w:t xml:space="preserve">  </w:t>
      </w:r>
    </w:p>
    <w:p w14:paraId="37A46286"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0146C57B"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13129F3B" w14:textId="77777777" w:rsidR="00DC0AF8" w:rsidRPr="00DC2D13" w:rsidRDefault="00DC0AF8" w:rsidP="00DC0AF8">
      <w:pPr>
        <w:pStyle w:val="Prrafodelista"/>
        <w:numPr>
          <w:ilvl w:val="0"/>
          <w:numId w:val="1"/>
        </w:numPr>
        <w:spacing w:line="276" w:lineRule="auto"/>
        <w:ind w:left="284" w:hanging="284"/>
        <w:jc w:val="both"/>
        <w:rPr>
          <w:rFonts w:ascii="Arial" w:eastAsia="Arial" w:hAnsi="Arial" w:cs="Arial"/>
          <w:b/>
          <w:color w:val="000000" w:themeColor="text1"/>
          <w:sz w:val="22"/>
          <w:szCs w:val="22"/>
        </w:rPr>
      </w:pPr>
      <w:r w:rsidRPr="00DC2D13">
        <w:rPr>
          <w:rFonts w:ascii="Arial" w:eastAsia="Arial" w:hAnsi="Arial" w:cs="Arial"/>
          <w:b/>
          <w:color w:val="000000" w:themeColor="text1"/>
          <w:sz w:val="22"/>
          <w:szCs w:val="22"/>
        </w:rPr>
        <w:t>PERSONAS MORALES QUE RECIBIERON Y EJERCIERON RECURSOS PÚBLICOS Y QUE SON SUJETOS OBLIGADOS DIRECTOS O INDIRECTOS DEL INSTITUTO NACIONAL DE TRANSPARENCIA, ACCESO A LA INFORMACIÓN Y PROTECCIÓN DE DATOS PERSONALES O DE ORGANISMOS GARANTES LOCALES DE TRANSPARENCIA.</w:t>
      </w:r>
    </w:p>
    <w:p w14:paraId="4C735FF8" w14:textId="77777777" w:rsidR="00DC0AF8" w:rsidRPr="00DC2D13" w:rsidRDefault="00DC0AF8" w:rsidP="00DC0AF8">
      <w:pPr>
        <w:spacing w:line="276" w:lineRule="auto"/>
        <w:ind w:left="284"/>
        <w:jc w:val="both"/>
        <w:rPr>
          <w:rFonts w:ascii="Arial" w:eastAsia="Arial" w:hAnsi="Arial" w:cs="Arial"/>
          <w:color w:val="000000" w:themeColor="text1"/>
          <w:sz w:val="22"/>
          <w:szCs w:val="22"/>
        </w:rPr>
      </w:pPr>
    </w:p>
    <w:p w14:paraId="013581A8"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4A7A63">
        <w:rPr>
          <w:rFonts w:ascii="Arial" w:eastAsia="Arial" w:hAnsi="Arial" w:cs="Arial"/>
          <w:color w:val="000000" w:themeColor="text1"/>
          <w:sz w:val="22"/>
          <w:szCs w:val="22"/>
        </w:rPr>
        <w:t xml:space="preserve">Dentro del listado de información recopilada, se encontraron algunas personas morales que actualmente, por Ley, son consideradas sujetos obligados ante el INAI o ante algún Organismo Garante de las entidades federativas; estos sujetos obligados se encuentran en el padrón de sujetos obligados del ámbito federal o en el listado de sujetos obligados que los organismos locales publican en la Plataforma Nacional de Transparencia, por lo que no se consideraron para la integración del presente padrón. Esta información se encuentra en el </w:t>
      </w:r>
      <w:r w:rsidRPr="004A7A63">
        <w:rPr>
          <w:rFonts w:ascii="Arial" w:eastAsia="Arial" w:hAnsi="Arial" w:cs="Arial"/>
          <w:b/>
          <w:color w:val="000000" w:themeColor="text1"/>
          <w:sz w:val="22"/>
          <w:szCs w:val="22"/>
        </w:rPr>
        <w:t>ANEXO 3</w:t>
      </w:r>
      <w:r w:rsidRPr="004A7A63">
        <w:rPr>
          <w:rFonts w:ascii="Arial" w:eastAsia="Arial" w:hAnsi="Arial" w:cs="Arial"/>
          <w:color w:val="000000" w:themeColor="text1"/>
          <w:sz w:val="22"/>
          <w:szCs w:val="22"/>
        </w:rPr>
        <w:t>.</w:t>
      </w:r>
    </w:p>
    <w:p w14:paraId="7CBBA9A6" w14:textId="77777777" w:rsidR="00DC0AF8" w:rsidRDefault="00DC0AF8" w:rsidP="00DC0AF8">
      <w:pPr>
        <w:spacing w:line="276" w:lineRule="auto"/>
        <w:jc w:val="both"/>
        <w:rPr>
          <w:rFonts w:ascii="Arial" w:eastAsia="Arial" w:hAnsi="Arial" w:cs="Arial"/>
          <w:color w:val="000000" w:themeColor="text1"/>
          <w:sz w:val="22"/>
          <w:szCs w:val="22"/>
        </w:rPr>
      </w:pPr>
    </w:p>
    <w:p w14:paraId="4668382C" w14:textId="77777777" w:rsidR="00DC0AF8" w:rsidRPr="005D34B7" w:rsidRDefault="00DC0AF8" w:rsidP="00DC0AF8">
      <w:pPr>
        <w:numPr>
          <w:ilvl w:val="0"/>
          <w:numId w:val="1"/>
        </w:numPr>
        <w:spacing w:line="276" w:lineRule="auto"/>
        <w:ind w:left="284" w:hanging="284"/>
        <w:contextualSpacing/>
        <w:jc w:val="both"/>
        <w:rPr>
          <w:rFonts w:ascii="Arial" w:eastAsia="Arial" w:hAnsi="Arial" w:cs="Arial"/>
          <w:color w:val="000000" w:themeColor="text1"/>
          <w:sz w:val="22"/>
          <w:szCs w:val="22"/>
        </w:rPr>
      </w:pPr>
      <w:r w:rsidRPr="005D34B7">
        <w:rPr>
          <w:rFonts w:ascii="Arial" w:eastAsia="Arial" w:hAnsi="Arial" w:cs="Arial"/>
          <w:b/>
          <w:color w:val="000000" w:themeColor="text1"/>
          <w:sz w:val="22"/>
          <w:szCs w:val="22"/>
        </w:rPr>
        <w:t>ORGANISMOS INTERNACIONALES</w:t>
      </w:r>
    </w:p>
    <w:p w14:paraId="273FC089" w14:textId="77777777" w:rsidR="00DC0AF8" w:rsidRPr="005D34B7" w:rsidRDefault="00DC0AF8" w:rsidP="00DC0AF8">
      <w:pPr>
        <w:spacing w:line="276" w:lineRule="auto"/>
        <w:ind w:left="284"/>
        <w:jc w:val="both"/>
        <w:rPr>
          <w:rFonts w:ascii="Arial" w:eastAsia="Arial" w:hAnsi="Arial" w:cs="Arial"/>
          <w:color w:val="000000" w:themeColor="text1"/>
          <w:sz w:val="22"/>
          <w:szCs w:val="22"/>
        </w:rPr>
      </w:pPr>
    </w:p>
    <w:p w14:paraId="53CA055C" w14:textId="77777777" w:rsidR="00DC0AF8" w:rsidRPr="005D34B7"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color w:val="000000" w:themeColor="text1"/>
          <w:sz w:val="22"/>
          <w:szCs w:val="22"/>
        </w:rPr>
        <w:t>Al realizar el análisis de la información se detectó que en el listado de personas morales que reciben recursos públicos se reportaron distintos organismos internacionales. Al respecto debe tomarse en cuenta que los organismos internacionales cuentan con personalidad jurídica internacional; que no pueden equipararse con una persona moral constituida bajo el derecho nacional; que tienen su propio marco jurídico (convenio constitutivo y acuerdo sede) en el que se establecen privilegios e inmunidades de que goza el organismo a fin de que éste se encuentre en posibilidad de llevar a cabo las funciones que le fueron encomendadas por los Estados miembros y que éstos se encuentran obligados a respetar y salvaguardar, pues la falta de reconocimiento a los privilegios e inmunidades puede generar responsabilidad internacional del Estado involucrado y, que las aportaciones a organismos internacionales deben publicarse por el sujeto obligado que las entrega en cumplimiento a la fracción XXVI del artículo 70 de la Ley General.</w:t>
      </w:r>
    </w:p>
    <w:p w14:paraId="083C801A" w14:textId="77777777" w:rsidR="00DC0AF8" w:rsidRPr="005D34B7"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color w:val="000000" w:themeColor="text1"/>
          <w:sz w:val="22"/>
          <w:szCs w:val="22"/>
        </w:rPr>
        <w:t> </w:t>
      </w:r>
    </w:p>
    <w:p w14:paraId="140B2B95" w14:textId="77777777" w:rsidR="00DC0AF8" w:rsidRPr="005D34B7"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color w:val="000000" w:themeColor="text1"/>
          <w:sz w:val="22"/>
          <w:szCs w:val="22"/>
        </w:rPr>
        <w:t xml:space="preserve">En virtud de lo anterior, se enlistan en el </w:t>
      </w:r>
      <w:r w:rsidRPr="005D34B7">
        <w:rPr>
          <w:rFonts w:ascii="Arial" w:eastAsia="Arial" w:hAnsi="Arial" w:cs="Arial"/>
          <w:b/>
          <w:color w:val="000000" w:themeColor="text1"/>
          <w:sz w:val="22"/>
          <w:szCs w:val="22"/>
        </w:rPr>
        <w:t>ANEXO 4</w:t>
      </w:r>
      <w:r w:rsidRPr="005D34B7">
        <w:rPr>
          <w:rFonts w:ascii="Arial" w:eastAsia="Arial" w:hAnsi="Arial" w:cs="Arial"/>
          <w:color w:val="000000" w:themeColor="text1"/>
          <w:sz w:val="22"/>
          <w:szCs w:val="22"/>
        </w:rPr>
        <w:t xml:space="preserve"> los organismos internacionales reportados que no serán considerados sujetos obligados en virtud de su personalidad jurídica internacional y marco jurídico aplicable. </w:t>
      </w:r>
    </w:p>
    <w:p w14:paraId="0B93A735" w14:textId="77777777" w:rsidR="00DC0AF8" w:rsidRPr="00B716B0" w:rsidRDefault="00DC0AF8" w:rsidP="00DC0AF8">
      <w:pPr>
        <w:spacing w:line="276" w:lineRule="auto"/>
        <w:jc w:val="both"/>
        <w:rPr>
          <w:rFonts w:ascii="Arial" w:eastAsia="Arial" w:hAnsi="Arial" w:cs="Arial"/>
          <w:color w:val="000000" w:themeColor="text1"/>
          <w:sz w:val="22"/>
          <w:szCs w:val="22"/>
          <w:highlight w:val="green"/>
        </w:rPr>
      </w:pPr>
    </w:p>
    <w:p w14:paraId="3A8258F2" w14:textId="77777777" w:rsidR="00DC0AF8" w:rsidRPr="005D34B7" w:rsidRDefault="00DC0AF8" w:rsidP="00DC0AF8">
      <w:pPr>
        <w:numPr>
          <w:ilvl w:val="0"/>
          <w:numId w:val="1"/>
        </w:numPr>
        <w:spacing w:line="276" w:lineRule="auto"/>
        <w:ind w:left="360" w:hanging="284"/>
        <w:contextualSpacing/>
        <w:jc w:val="both"/>
        <w:rPr>
          <w:rFonts w:ascii="Arial" w:eastAsia="Arial" w:hAnsi="Arial" w:cs="Arial"/>
          <w:b/>
          <w:color w:val="000000" w:themeColor="text1"/>
          <w:sz w:val="22"/>
          <w:szCs w:val="22"/>
        </w:rPr>
      </w:pPr>
      <w:r w:rsidRPr="005D34B7">
        <w:rPr>
          <w:rFonts w:ascii="Arial" w:eastAsia="Arial" w:hAnsi="Arial" w:cs="Arial"/>
          <w:b/>
          <w:color w:val="000000" w:themeColor="text1"/>
          <w:sz w:val="22"/>
          <w:szCs w:val="22"/>
        </w:rPr>
        <w:t>PERSONAS FÍSICAS Y MORALES QUE RECIBIERON Y EJERCIERON RECURSOS PÚBLICOS EN PLAZO DISTINTO AL SOLICITADO.</w:t>
      </w:r>
    </w:p>
    <w:p w14:paraId="359B1AB3" w14:textId="77777777" w:rsidR="00DC0AF8" w:rsidRPr="005D34B7" w:rsidRDefault="00DC0AF8" w:rsidP="00DC0AF8">
      <w:pPr>
        <w:spacing w:line="276" w:lineRule="auto"/>
        <w:ind w:left="360"/>
        <w:contextualSpacing/>
        <w:jc w:val="both"/>
        <w:rPr>
          <w:rFonts w:ascii="Arial" w:eastAsia="Arial" w:hAnsi="Arial" w:cs="Arial"/>
          <w:b/>
          <w:color w:val="000000" w:themeColor="text1"/>
          <w:sz w:val="22"/>
          <w:szCs w:val="22"/>
        </w:rPr>
      </w:pPr>
    </w:p>
    <w:p w14:paraId="1A5C1641" w14:textId="03DF8F9C" w:rsidR="00DC0AF8" w:rsidRPr="005D34B7" w:rsidRDefault="00DC0AF8" w:rsidP="00DC0AF8">
      <w:pPr>
        <w:spacing w:line="276" w:lineRule="auto"/>
        <w:jc w:val="both"/>
        <w:rPr>
          <w:rFonts w:ascii="Arial" w:eastAsia="Arial" w:hAnsi="Arial" w:cs="Arial"/>
          <w:b/>
          <w:color w:val="000000" w:themeColor="text1"/>
          <w:sz w:val="22"/>
          <w:szCs w:val="22"/>
        </w:rPr>
      </w:pPr>
      <w:r w:rsidRPr="005D34B7">
        <w:rPr>
          <w:rFonts w:ascii="Arial" w:eastAsia="Arial" w:hAnsi="Arial" w:cs="Arial"/>
          <w:color w:val="000000" w:themeColor="text1"/>
          <w:sz w:val="22"/>
          <w:szCs w:val="22"/>
        </w:rPr>
        <w:t xml:space="preserve">En las bases de datos </w:t>
      </w:r>
      <w:r w:rsidR="00E45BF0" w:rsidRPr="005D34B7">
        <w:rPr>
          <w:rFonts w:ascii="Arial" w:eastAsia="Arial" w:hAnsi="Arial" w:cs="Arial"/>
          <w:color w:val="000000" w:themeColor="text1"/>
          <w:sz w:val="22"/>
          <w:szCs w:val="22"/>
        </w:rPr>
        <w:t xml:space="preserve">no </w:t>
      </w:r>
      <w:r w:rsidRPr="005D34B7">
        <w:rPr>
          <w:rFonts w:ascii="Arial" w:eastAsia="Arial" w:hAnsi="Arial" w:cs="Arial"/>
          <w:color w:val="000000" w:themeColor="text1"/>
          <w:sz w:val="22"/>
          <w:szCs w:val="22"/>
        </w:rPr>
        <w:t xml:space="preserve">se identificaron registros de personas físicas y morales a quienes se otorgaron recursos públicos en periodo distinto al solicitado, motivo por el cual no se tomaron en consideración para el actual padrón. </w:t>
      </w:r>
      <w:r w:rsidRPr="005D34B7">
        <w:rPr>
          <w:rFonts w:ascii="Arial" w:eastAsia="Arial" w:hAnsi="Arial" w:cs="Arial"/>
          <w:b/>
          <w:color w:val="000000" w:themeColor="text1"/>
          <w:sz w:val="22"/>
          <w:szCs w:val="22"/>
        </w:rPr>
        <w:t>ANEXO 5.</w:t>
      </w:r>
    </w:p>
    <w:p w14:paraId="59CE6B31" w14:textId="77777777" w:rsidR="00DC0AF8" w:rsidRPr="00B716B0" w:rsidRDefault="00DC0AF8" w:rsidP="00DC0AF8">
      <w:pPr>
        <w:spacing w:line="276" w:lineRule="auto"/>
        <w:jc w:val="both"/>
        <w:rPr>
          <w:rFonts w:ascii="Arial" w:eastAsia="Arial" w:hAnsi="Arial" w:cs="Arial"/>
          <w:b/>
          <w:color w:val="000000" w:themeColor="text1"/>
          <w:sz w:val="22"/>
          <w:szCs w:val="22"/>
          <w:highlight w:val="green"/>
        </w:rPr>
      </w:pPr>
    </w:p>
    <w:p w14:paraId="5EF31DC0" w14:textId="77777777" w:rsidR="00DC0AF8" w:rsidRPr="005D34B7" w:rsidRDefault="00DC0AF8" w:rsidP="00DC0AF8">
      <w:pPr>
        <w:pStyle w:val="Prrafodelista"/>
        <w:numPr>
          <w:ilvl w:val="0"/>
          <w:numId w:val="1"/>
        </w:numPr>
        <w:tabs>
          <w:tab w:val="left" w:pos="284"/>
        </w:tabs>
        <w:spacing w:line="276" w:lineRule="auto"/>
        <w:ind w:left="426" w:hanging="284"/>
        <w:jc w:val="both"/>
        <w:rPr>
          <w:rFonts w:ascii="Arial" w:eastAsia="Arial" w:hAnsi="Arial" w:cs="Arial"/>
          <w:b/>
          <w:color w:val="000000" w:themeColor="text1"/>
          <w:sz w:val="22"/>
          <w:szCs w:val="22"/>
        </w:rPr>
      </w:pPr>
      <w:r w:rsidRPr="005D34B7">
        <w:rPr>
          <w:rFonts w:ascii="Arial" w:eastAsia="Arial" w:hAnsi="Arial" w:cs="Arial"/>
          <w:b/>
          <w:color w:val="000000" w:themeColor="text1"/>
          <w:sz w:val="22"/>
          <w:szCs w:val="22"/>
        </w:rPr>
        <w:t>PERSONAS FÍSICAS Y MORALES QUE FUERON REPORTADOS Y QUE HACEN REFERENCIA A SUPUESTOS DIFERENTES.</w:t>
      </w:r>
    </w:p>
    <w:p w14:paraId="2FC93E9F" w14:textId="77777777" w:rsidR="00DC0AF8" w:rsidRPr="005D34B7" w:rsidRDefault="00DC0AF8" w:rsidP="00DC0AF8">
      <w:pPr>
        <w:spacing w:line="276" w:lineRule="auto"/>
        <w:jc w:val="both"/>
        <w:rPr>
          <w:rFonts w:ascii="Arial" w:eastAsia="Arial" w:hAnsi="Arial" w:cs="Arial"/>
          <w:color w:val="000000" w:themeColor="text1"/>
          <w:sz w:val="22"/>
          <w:szCs w:val="22"/>
        </w:rPr>
      </w:pPr>
    </w:p>
    <w:p w14:paraId="56741481" w14:textId="0B0ECD60" w:rsidR="00DC0AF8" w:rsidRPr="005D34B7" w:rsidRDefault="00DC0AF8" w:rsidP="00DC0AF8">
      <w:pPr>
        <w:spacing w:line="276" w:lineRule="auto"/>
        <w:jc w:val="both"/>
        <w:rPr>
          <w:rFonts w:ascii="Arial" w:eastAsia="Arial" w:hAnsi="Arial" w:cs="Arial"/>
          <w:color w:val="000000" w:themeColor="text1"/>
          <w:sz w:val="22"/>
          <w:szCs w:val="22"/>
          <w:lang w:val="es-MX"/>
        </w:rPr>
      </w:pPr>
      <w:r w:rsidRPr="005D34B7">
        <w:rPr>
          <w:rFonts w:ascii="Arial" w:eastAsia="Arial" w:hAnsi="Arial" w:cs="Arial"/>
          <w:color w:val="000000" w:themeColor="text1"/>
          <w:sz w:val="22"/>
          <w:szCs w:val="22"/>
        </w:rPr>
        <w:t>En las bases de datos integradas se identificaron registros de personas físicas y morales a quienes se otorgaron recursos públicos por concepto de contratos de prestación de servicios, de comodato, de fideicomiso, por prestaciones laborales, por convenios de concertación y coordinación</w:t>
      </w:r>
      <w:r w:rsidR="00583E4B" w:rsidRPr="005D34B7">
        <w:rPr>
          <w:rFonts w:ascii="Arial" w:eastAsia="Arial" w:hAnsi="Arial" w:cs="Arial"/>
          <w:color w:val="000000" w:themeColor="text1"/>
          <w:sz w:val="22"/>
          <w:szCs w:val="22"/>
        </w:rPr>
        <w:t>, por contener datos incorrectos</w:t>
      </w:r>
      <w:r w:rsidR="00F9734F" w:rsidRPr="005D34B7">
        <w:rPr>
          <w:rFonts w:ascii="Arial" w:eastAsia="Arial" w:hAnsi="Arial" w:cs="Arial"/>
          <w:color w:val="000000" w:themeColor="text1"/>
          <w:sz w:val="22"/>
          <w:szCs w:val="22"/>
        </w:rPr>
        <w:t xml:space="preserve">, </w:t>
      </w:r>
      <w:r w:rsidR="001316E3">
        <w:rPr>
          <w:rFonts w:ascii="Arial" w:eastAsia="Arial" w:hAnsi="Arial" w:cs="Arial"/>
          <w:color w:val="000000" w:themeColor="text1"/>
          <w:sz w:val="22"/>
          <w:szCs w:val="22"/>
        </w:rPr>
        <w:t>o r</w:t>
      </w:r>
      <w:r w:rsidR="001316E3" w:rsidRPr="001316E3">
        <w:rPr>
          <w:rFonts w:ascii="Arial" w:eastAsia="Arial" w:hAnsi="Arial" w:cs="Arial"/>
          <w:color w:val="000000" w:themeColor="text1"/>
          <w:sz w:val="22"/>
          <w:szCs w:val="22"/>
        </w:rPr>
        <w:t>egistros con información insuficiente para su clasificación</w:t>
      </w:r>
      <w:r w:rsidRPr="005D34B7">
        <w:rPr>
          <w:rFonts w:ascii="Arial" w:eastAsia="Arial" w:hAnsi="Arial" w:cs="Arial"/>
          <w:color w:val="000000" w:themeColor="text1"/>
          <w:sz w:val="22"/>
          <w:szCs w:val="22"/>
        </w:rPr>
        <w:t xml:space="preserve">; así como la encomienda de actos de autoridad a </w:t>
      </w:r>
      <w:r w:rsidRPr="005D34B7">
        <w:rPr>
          <w:rFonts w:ascii="Arial" w:eastAsia="Arial" w:hAnsi="Arial" w:cs="Arial"/>
          <w:color w:val="000000" w:themeColor="text1"/>
          <w:sz w:val="22"/>
          <w:szCs w:val="22"/>
          <w:lang w:val="es-MX"/>
        </w:rPr>
        <w:t xml:space="preserve">personal del sujeto obligado en el ejercicio de sus funciones y el nombre de una persona a quien se identifica como representante de un Sindicato que ya es sujeto obligado en este Instituto. </w:t>
      </w:r>
      <w:r w:rsidRPr="005D34B7">
        <w:rPr>
          <w:rFonts w:ascii="Arial" w:eastAsia="Arial" w:hAnsi="Arial" w:cs="Arial"/>
          <w:color w:val="000000" w:themeColor="text1"/>
          <w:sz w:val="22"/>
          <w:szCs w:val="22"/>
        </w:rPr>
        <w:t xml:space="preserve">Estos supuestos constituyen obligaciones de transparencia de otras fracciones del artículo 70 de la Ley General, motivo por el cual no se tomaron en consideración para conformar el actual padrón. </w:t>
      </w:r>
    </w:p>
    <w:p w14:paraId="2C2045E7" w14:textId="23F8DA8C" w:rsidR="00881843" w:rsidRPr="00DC2D13" w:rsidRDefault="00881843" w:rsidP="00881843">
      <w:pPr>
        <w:spacing w:line="276" w:lineRule="auto"/>
        <w:jc w:val="both"/>
        <w:rPr>
          <w:rFonts w:ascii="Arial" w:eastAsia="Arial" w:hAnsi="Arial" w:cs="Arial"/>
          <w:b/>
          <w:color w:val="000000" w:themeColor="text1"/>
          <w:sz w:val="22"/>
          <w:szCs w:val="22"/>
        </w:rPr>
      </w:pPr>
      <w:r w:rsidRPr="005D34B7">
        <w:rPr>
          <w:rFonts w:ascii="Arial" w:eastAsia="Arial" w:hAnsi="Arial" w:cs="Arial"/>
          <w:color w:val="000000" w:themeColor="text1"/>
          <w:sz w:val="22"/>
          <w:szCs w:val="22"/>
        </w:rPr>
        <w:t xml:space="preserve">El listado se encuentra en el </w:t>
      </w:r>
      <w:r w:rsidRPr="005D34B7">
        <w:rPr>
          <w:rFonts w:ascii="Arial" w:eastAsia="Arial" w:hAnsi="Arial" w:cs="Arial"/>
          <w:b/>
          <w:color w:val="000000" w:themeColor="text1"/>
          <w:sz w:val="22"/>
          <w:szCs w:val="22"/>
        </w:rPr>
        <w:t>ANEXO 6.</w:t>
      </w:r>
    </w:p>
    <w:p w14:paraId="3E43824A"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6778434A" w14:textId="77777777" w:rsidR="00DC0AF8" w:rsidRPr="00DC2D13" w:rsidRDefault="00DC0AF8" w:rsidP="00DC0AF8">
      <w:pPr>
        <w:pStyle w:val="Prrafodelista"/>
        <w:numPr>
          <w:ilvl w:val="0"/>
          <w:numId w:val="1"/>
        </w:numPr>
        <w:spacing w:line="276" w:lineRule="auto"/>
        <w:ind w:left="284" w:hanging="283"/>
        <w:jc w:val="both"/>
        <w:rPr>
          <w:rFonts w:ascii="Arial" w:eastAsia="Arial" w:hAnsi="Arial" w:cs="Arial"/>
          <w:b/>
          <w:color w:val="000000" w:themeColor="text1"/>
          <w:sz w:val="22"/>
          <w:szCs w:val="22"/>
        </w:rPr>
      </w:pPr>
      <w:r w:rsidRPr="00DC2D13">
        <w:rPr>
          <w:rFonts w:ascii="Arial" w:eastAsia="Arial" w:hAnsi="Arial" w:cs="Arial"/>
          <w:b/>
          <w:color w:val="000000" w:themeColor="text1"/>
          <w:sz w:val="22"/>
          <w:szCs w:val="22"/>
        </w:rPr>
        <w:t>CONSIDERACIONES ADICIONALES</w:t>
      </w:r>
    </w:p>
    <w:p w14:paraId="0BBA5C68"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0777B230" w14:textId="77777777" w:rsidR="00DC0AF8" w:rsidRDefault="00DC0AF8" w:rsidP="00DC0AF8">
      <w:pPr>
        <w:spacing w:line="276" w:lineRule="auto"/>
        <w:jc w:val="both"/>
        <w:rPr>
          <w:rFonts w:ascii="Arial" w:eastAsia="Arial" w:hAnsi="Arial" w:cs="Arial"/>
          <w:color w:val="000000" w:themeColor="text1"/>
          <w:sz w:val="22"/>
          <w:szCs w:val="22"/>
        </w:rPr>
      </w:pPr>
      <w:r w:rsidRPr="00881843">
        <w:rPr>
          <w:rFonts w:ascii="Arial" w:eastAsia="Arial" w:hAnsi="Arial" w:cs="Arial"/>
          <w:color w:val="000000" w:themeColor="text1"/>
          <w:sz w:val="22"/>
          <w:szCs w:val="22"/>
        </w:rPr>
        <w:t>Del análisis y procesamiento de la información se advirtió que, en algunos casos, el nombre de personas físicas y la denominación de personas morales se repetía en varias ocasiones, por lo que se eliminaron los registros repetidos cuando se observó que se trataba de la misma persona. Esto no se realizó para el caso de las personas físicas beneficiarias de programas sociales, debido a la posibilidad de homonimias</w:t>
      </w:r>
      <w:bookmarkStart w:id="1" w:name="_Hlk34670686"/>
      <w:r w:rsidRPr="00881843">
        <w:rPr>
          <w:rFonts w:ascii="Arial" w:eastAsia="Arial" w:hAnsi="Arial" w:cs="Arial"/>
          <w:color w:val="000000" w:themeColor="text1"/>
          <w:sz w:val="22"/>
          <w:szCs w:val="22"/>
        </w:rPr>
        <w:t xml:space="preserve"> y a que no se tiene certeza de que se trate de la misma persona.</w:t>
      </w:r>
      <w:bookmarkEnd w:id="1"/>
    </w:p>
    <w:p w14:paraId="15FB9BF4"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709AA22D" w14:textId="77777777" w:rsidR="00DC0AF8" w:rsidRPr="00DC2D13" w:rsidRDefault="00DC0AF8" w:rsidP="00DC0AF8">
      <w:pPr>
        <w:spacing w:line="276" w:lineRule="auto"/>
        <w:ind w:right="49"/>
        <w:jc w:val="both"/>
        <w:rPr>
          <w:rFonts w:ascii="Arial" w:eastAsia="Arial" w:hAnsi="Arial" w:cs="Arial"/>
          <w:color w:val="000000" w:themeColor="text1"/>
          <w:sz w:val="22"/>
          <w:szCs w:val="22"/>
        </w:rPr>
      </w:pPr>
      <w:r w:rsidRPr="00DC2D13">
        <w:rPr>
          <w:rFonts w:ascii="Arial" w:eastAsia="Arial" w:hAnsi="Arial" w:cs="Arial"/>
          <w:color w:val="000000" w:themeColor="text1"/>
          <w:sz w:val="22"/>
          <w:szCs w:val="22"/>
        </w:rPr>
        <w:t>Por lo expuesto y fundado se:</w:t>
      </w:r>
    </w:p>
    <w:p w14:paraId="774C7D93" w14:textId="77777777" w:rsidR="00DC0AF8" w:rsidRPr="00DC2D13" w:rsidRDefault="00DC0AF8" w:rsidP="00DC0AF8">
      <w:pPr>
        <w:spacing w:line="276" w:lineRule="auto"/>
        <w:ind w:right="49"/>
        <w:jc w:val="both"/>
        <w:rPr>
          <w:rFonts w:ascii="Arial" w:eastAsia="Arial" w:hAnsi="Arial" w:cs="Arial"/>
          <w:color w:val="000000" w:themeColor="text1"/>
          <w:sz w:val="22"/>
          <w:szCs w:val="22"/>
        </w:rPr>
      </w:pPr>
    </w:p>
    <w:p w14:paraId="4C7A5987" w14:textId="77777777" w:rsidR="00DC0AF8" w:rsidRPr="00923728" w:rsidRDefault="00DC0AF8" w:rsidP="00DC0AF8">
      <w:pPr>
        <w:spacing w:line="276" w:lineRule="auto"/>
        <w:ind w:right="49"/>
        <w:jc w:val="center"/>
        <w:rPr>
          <w:rFonts w:ascii="Arial" w:eastAsia="Arial" w:hAnsi="Arial" w:cs="Arial"/>
          <w:color w:val="000000" w:themeColor="text1"/>
          <w:sz w:val="22"/>
          <w:szCs w:val="22"/>
          <w:lang w:val="pt-BR"/>
        </w:rPr>
      </w:pPr>
      <w:r w:rsidRPr="00923728">
        <w:rPr>
          <w:rFonts w:ascii="Arial" w:eastAsia="Arial" w:hAnsi="Arial" w:cs="Arial"/>
          <w:b/>
          <w:color w:val="000000" w:themeColor="text1"/>
          <w:sz w:val="22"/>
          <w:szCs w:val="22"/>
          <w:lang w:val="pt-BR"/>
        </w:rPr>
        <w:t>R E S U E L V E</w:t>
      </w:r>
    </w:p>
    <w:p w14:paraId="0CC963E4" w14:textId="77777777" w:rsidR="00DC0AF8" w:rsidRPr="00923728" w:rsidRDefault="00DC0AF8" w:rsidP="00DC0AF8">
      <w:pPr>
        <w:tabs>
          <w:tab w:val="left" w:pos="6765"/>
        </w:tabs>
        <w:spacing w:line="276" w:lineRule="auto"/>
        <w:ind w:right="49"/>
        <w:jc w:val="both"/>
        <w:rPr>
          <w:rFonts w:ascii="Arial" w:eastAsia="Arial" w:hAnsi="Arial" w:cs="Arial"/>
          <w:color w:val="000000" w:themeColor="text1"/>
          <w:sz w:val="22"/>
          <w:szCs w:val="22"/>
          <w:lang w:val="pt-BR"/>
        </w:rPr>
      </w:pPr>
      <w:r w:rsidRPr="00923728">
        <w:rPr>
          <w:rFonts w:ascii="Arial" w:eastAsia="Arial" w:hAnsi="Arial" w:cs="Arial"/>
          <w:color w:val="000000" w:themeColor="text1"/>
          <w:sz w:val="22"/>
          <w:szCs w:val="22"/>
          <w:lang w:val="pt-BR"/>
        </w:rPr>
        <w:tab/>
      </w:r>
    </w:p>
    <w:p w14:paraId="2509DF1F"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923728">
        <w:rPr>
          <w:rFonts w:ascii="Arial" w:eastAsia="Arial" w:hAnsi="Arial" w:cs="Arial"/>
          <w:b/>
          <w:color w:val="000000" w:themeColor="text1"/>
          <w:sz w:val="22"/>
          <w:szCs w:val="22"/>
          <w:lang w:val="pt-BR"/>
        </w:rPr>
        <w:lastRenderedPageBreak/>
        <w:t>PRIMERO.</w:t>
      </w:r>
      <w:r w:rsidRPr="00923728">
        <w:rPr>
          <w:rFonts w:ascii="Arial" w:eastAsia="Arial" w:hAnsi="Arial" w:cs="Arial"/>
          <w:color w:val="000000" w:themeColor="text1"/>
          <w:sz w:val="22"/>
          <w:szCs w:val="22"/>
          <w:lang w:val="pt-BR"/>
        </w:rPr>
        <w:t xml:space="preserve"> </w:t>
      </w:r>
      <w:r w:rsidRPr="00DC2D13">
        <w:rPr>
          <w:rFonts w:ascii="Arial" w:eastAsia="Arial" w:hAnsi="Arial" w:cs="Arial"/>
          <w:color w:val="000000" w:themeColor="text1"/>
          <w:sz w:val="22"/>
          <w:szCs w:val="22"/>
        </w:rPr>
        <w:t xml:space="preserve">Las personas físicas o morales que se enlistan en </w:t>
      </w:r>
      <w:r w:rsidRPr="00881843">
        <w:rPr>
          <w:rFonts w:ascii="Arial" w:eastAsia="Arial" w:hAnsi="Arial" w:cs="Arial"/>
          <w:color w:val="000000" w:themeColor="text1"/>
          <w:sz w:val="22"/>
          <w:szCs w:val="22"/>
        </w:rPr>
        <w:t xml:space="preserve">el </w:t>
      </w:r>
      <w:r w:rsidRPr="00881843">
        <w:rPr>
          <w:rFonts w:ascii="Arial" w:eastAsia="Arial" w:hAnsi="Arial" w:cs="Arial"/>
          <w:b/>
          <w:color w:val="000000" w:themeColor="text1"/>
          <w:sz w:val="22"/>
          <w:szCs w:val="22"/>
        </w:rPr>
        <w:t>ANEXO 1</w:t>
      </w:r>
      <w:r w:rsidRPr="00881843">
        <w:rPr>
          <w:rFonts w:ascii="Arial" w:eastAsia="Arial" w:hAnsi="Arial" w:cs="Arial"/>
          <w:color w:val="000000" w:themeColor="text1"/>
          <w:sz w:val="22"/>
          <w:szCs w:val="22"/>
        </w:rPr>
        <w:t xml:space="preserve"> del prese</w:t>
      </w:r>
      <w:r w:rsidRPr="00DC2D13">
        <w:rPr>
          <w:rFonts w:ascii="Arial" w:eastAsia="Arial" w:hAnsi="Arial" w:cs="Arial"/>
          <w:color w:val="000000" w:themeColor="text1"/>
          <w:sz w:val="22"/>
          <w:szCs w:val="22"/>
        </w:rPr>
        <w:t xml:space="preserve">nte dictamen, cumplirán con sus obligaciones de transparencia y acceso a la información a través de los sujetos obligados que les otorgan recursos públicos. </w:t>
      </w:r>
    </w:p>
    <w:p w14:paraId="06C17212"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4641CCCB"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 xml:space="preserve">SEGUNDO. </w:t>
      </w:r>
      <w:r w:rsidRPr="00DC2D13">
        <w:rPr>
          <w:rFonts w:ascii="Arial" w:eastAsia="Arial" w:hAnsi="Arial" w:cs="Arial"/>
          <w:color w:val="000000" w:themeColor="text1"/>
          <w:sz w:val="22"/>
          <w:szCs w:val="22"/>
        </w:rPr>
        <w:t xml:space="preserve">Las personas físicas y morales que se enlistan en </w:t>
      </w:r>
      <w:r w:rsidRPr="00881843">
        <w:rPr>
          <w:rFonts w:ascii="Arial" w:eastAsia="Arial" w:hAnsi="Arial" w:cs="Arial"/>
          <w:color w:val="000000" w:themeColor="text1"/>
          <w:sz w:val="22"/>
          <w:szCs w:val="22"/>
        </w:rPr>
        <w:t xml:space="preserve">el </w:t>
      </w:r>
      <w:r w:rsidRPr="00881843">
        <w:rPr>
          <w:rFonts w:ascii="Arial" w:eastAsia="Arial" w:hAnsi="Arial" w:cs="Arial"/>
          <w:b/>
          <w:color w:val="000000" w:themeColor="text1"/>
          <w:sz w:val="22"/>
          <w:szCs w:val="22"/>
        </w:rPr>
        <w:t>ANEXO 2</w:t>
      </w:r>
      <w:r w:rsidRPr="00881843">
        <w:rPr>
          <w:rFonts w:ascii="Arial" w:eastAsia="Arial" w:hAnsi="Arial" w:cs="Arial"/>
          <w:color w:val="000000" w:themeColor="text1"/>
          <w:sz w:val="22"/>
          <w:szCs w:val="22"/>
        </w:rPr>
        <w:t xml:space="preserve"> del p</w:t>
      </w:r>
      <w:r w:rsidRPr="00DC2D13">
        <w:rPr>
          <w:rFonts w:ascii="Arial" w:eastAsia="Arial" w:hAnsi="Arial" w:cs="Arial"/>
          <w:color w:val="000000" w:themeColor="text1"/>
          <w:sz w:val="22"/>
          <w:szCs w:val="22"/>
        </w:rPr>
        <w:t>resente dictamen, cumplirán con sus obligaciones de transparencia y acceso a la información, a través de los sujetos obligados que les otorgan recursos públicos y con la información que publique el sujeto obligado que se los asigna en términos de los artículos 70 fracción XV y 69 fracciones IX, inciso a), XI inciso c) de la Ley General de Transparencia y Acceso a la Información Pública y de la Ley Federal de Transparencia y Acceso a la Información Pública, respectivamente.</w:t>
      </w:r>
    </w:p>
    <w:p w14:paraId="655A60AF"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573C0AB7"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DC2D13">
        <w:rPr>
          <w:rFonts w:ascii="Arial" w:eastAsia="Arial" w:hAnsi="Arial" w:cs="Arial"/>
          <w:b/>
          <w:color w:val="000000" w:themeColor="text1"/>
          <w:sz w:val="22"/>
          <w:szCs w:val="22"/>
        </w:rPr>
        <w:t xml:space="preserve">TERCERO. </w:t>
      </w:r>
      <w:r w:rsidRPr="00DC2D13">
        <w:rPr>
          <w:rFonts w:ascii="Arial" w:eastAsia="Arial" w:hAnsi="Arial" w:cs="Arial"/>
          <w:color w:val="000000" w:themeColor="text1"/>
          <w:sz w:val="22"/>
          <w:szCs w:val="22"/>
        </w:rPr>
        <w:t xml:space="preserve">Las personas morales que se encuentran listadas en </w:t>
      </w:r>
      <w:r w:rsidRPr="00881843">
        <w:rPr>
          <w:rFonts w:ascii="Arial" w:eastAsia="Arial" w:hAnsi="Arial" w:cs="Arial"/>
          <w:color w:val="000000" w:themeColor="text1"/>
          <w:sz w:val="22"/>
          <w:szCs w:val="22"/>
        </w:rPr>
        <w:t xml:space="preserve">el </w:t>
      </w:r>
      <w:r w:rsidRPr="00881843">
        <w:rPr>
          <w:rFonts w:ascii="Arial" w:eastAsia="Arial" w:hAnsi="Arial" w:cs="Arial"/>
          <w:b/>
          <w:color w:val="000000" w:themeColor="text1"/>
          <w:sz w:val="22"/>
          <w:szCs w:val="22"/>
        </w:rPr>
        <w:t>ANEXO 3</w:t>
      </w:r>
      <w:r w:rsidRPr="00881843">
        <w:rPr>
          <w:rFonts w:ascii="Arial" w:eastAsia="Arial" w:hAnsi="Arial" w:cs="Arial"/>
          <w:color w:val="000000" w:themeColor="text1"/>
          <w:sz w:val="22"/>
          <w:szCs w:val="22"/>
        </w:rPr>
        <w:t xml:space="preserve"> del</w:t>
      </w:r>
      <w:r w:rsidRPr="00DC2D13">
        <w:rPr>
          <w:rFonts w:ascii="Arial" w:eastAsia="Arial" w:hAnsi="Arial" w:cs="Arial"/>
          <w:color w:val="000000" w:themeColor="text1"/>
          <w:sz w:val="22"/>
          <w:szCs w:val="22"/>
        </w:rPr>
        <w:t xml:space="preserve"> presente dictamen, no serán incluidas en el padrón en tanto que ya son sujetos obligados directos o indirectos del ámbito federal o local. </w:t>
      </w:r>
    </w:p>
    <w:p w14:paraId="3573F2F6"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3C3C9119" w14:textId="77777777" w:rsidR="00DC0AF8" w:rsidRPr="005D34B7"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b/>
          <w:color w:val="000000" w:themeColor="text1"/>
          <w:sz w:val="22"/>
          <w:szCs w:val="22"/>
        </w:rPr>
        <w:t>CUARTO.</w:t>
      </w:r>
      <w:r w:rsidRPr="005D34B7">
        <w:rPr>
          <w:rFonts w:ascii="Arial" w:eastAsia="Arial" w:hAnsi="Arial" w:cs="Arial"/>
          <w:color w:val="000000" w:themeColor="text1"/>
          <w:sz w:val="22"/>
          <w:szCs w:val="22"/>
        </w:rPr>
        <w:t xml:space="preserve"> Los organismos internacionales listados en el </w:t>
      </w:r>
      <w:r w:rsidRPr="005D34B7">
        <w:rPr>
          <w:rFonts w:ascii="Arial" w:eastAsia="Arial" w:hAnsi="Arial" w:cs="Arial"/>
          <w:b/>
          <w:color w:val="000000" w:themeColor="text1"/>
          <w:sz w:val="22"/>
          <w:szCs w:val="22"/>
        </w:rPr>
        <w:t>ANEXO 4</w:t>
      </w:r>
      <w:r w:rsidRPr="005D34B7">
        <w:rPr>
          <w:rFonts w:ascii="Arial" w:eastAsia="Arial" w:hAnsi="Arial" w:cs="Arial"/>
          <w:color w:val="000000" w:themeColor="text1"/>
          <w:sz w:val="22"/>
          <w:szCs w:val="22"/>
        </w:rPr>
        <w:t xml:space="preserve"> no serán considerados en el padrón en virtud de la personalidad jurídica que ostentan.</w:t>
      </w:r>
    </w:p>
    <w:p w14:paraId="7A973BBA" w14:textId="77777777" w:rsidR="00DC0AF8" w:rsidRPr="005D34B7" w:rsidRDefault="00DC0AF8" w:rsidP="00DC0AF8">
      <w:pPr>
        <w:spacing w:line="276" w:lineRule="auto"/>
        <w:jc w:val="both"/>
        <w:rPr>
          <w:rFonts w:ascii="Arial" w:eastAsia="Arial" w:hAnsi="Arial" w:cs="Arial"/>
          <w:color w:val="000000" w:themeColor="text1"/>
          <w:sz w:val="22"/>
          <w:szCs w:val="22"/>
        </w:rPr>
      </w:pPr>
    </w:p>
    <w:p w14:paraId="16DB51FF" w14:textId="77777777" w:rsidR="00DC0AF8" w:rsidRPr="005D34B7"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b/>
          <w:color w:val="000000" w:themeColor="text1"/>
          <w:sz w:val="22"/>
          <w:szCs w:val="22"/>
        </w:rPr>
        <w:t>QUINTO.</w:t>
      </w:r>
      <w:r w:rsidRPr="005D34B7">
        <w:rPr>
          <w:rFonts w:ascii="Arial" w:eastAsia="Arial" w:hAnsi="Arial" w:cs="Arial"/>
          <w:color w:val="000000" w:themeColor="text1"/>
          <w:sz w:val="22"/>
          <w:szCs w:val="22"/>
        </w:rPr>
        <w:t xml:space="preserve"> Las personas físicas y morales que se encuentran listadas en el </w:t>
      </w:r>
      <w:r w:rsidRPr="005D34B7">
        <w:rPr>
          <w:rFonts w:ascii="Arial" w:eastAsia="Arial" w:hAnsi="Arial" w:cs="Arial"/>
          <w:b/>
          <w:color w:val="000000" w:themeColor="text1"/>
          <w:sz w:val="22"/>
          <w:szCs w:val="22"/>
        </w:rPr>
        <w:t>ANEXO 5</w:t>
      </w:r>
      <w:r w:rsidRPr="005D34B7">
        <w:rPr>
          <w:rFonts w:ascii="Arial" w:eastAsia="Arial" w:hAnsi="Arial" w:cs="Arial"/>
          <w:color w:val="000000" w:themeColor="text1"/>
          <w:sz w:val="22"/>
          <w:szCs w:val="22"/>
        </w:rPr>
        <w:t xml:space="preserve"> no se incluyen en el padrón debido a que el recurso que se les otorgó fue reportado en un plazo distinto al solicitado.</w:t>
      </w:r>
    </w:p>
    <w:p w14:paraId="76E56E30" w14:textId="77777777" w:rsidR="00DC0AF8" w:rsidRPr="005D34B7" w:rsidRDefault="00DC0AF8" w:rsidP="00DC0AF8">
      <w:pPr>
        <w:spacing w:line="276" w:lineRule="auto"/>
        <w:jc w:val="both"/>
        <w:rPr>
          <w:rFonts w:ascii="Arial" w:eastAsia="Arial" w:hAnsi="Arial" w:cs="Arial"/>
          <w:color w:val="000000" w:themeColor="text1"/>
          <w:sz w:val="22"/>
          <w:szCs w:val="22"/>
        </w:rPr>
      </w:pPr>
    </w:p>
    <w:p w14:paraId="5AC11D60" w14:textId="77777777" w:rsidR="00DC0AF8" w:rsidRPr="00DC2D13" w:rsidRDefault="00DC0AF8" w:rsidP="00DC0AF8">
      <w:pPr>
        <w:spacing w:line="276" w:lineRule="auto"/>
        <w:jc w:val="both"/>
        <w:rPr>
          <w:rFonts w:ascii="Arial" w:eastAsia="Arial" w:hAnsi="Arial" w:cs="Arial"/>
          <w:color w:val="000000" w:themeColor="text1"/>
          <w:sz w:val="22"/>
          <w:szCs w:val="22"/>
        </w:rPr>
      </w:pPr>
      <w:r w:rsidRPr="005D34B7">
        <w:rPr>
          <w:rFonts w:ascii="Arial" w:eastAsia="Arial" w:hAnsi="Arial" w:cs="Arial"/>
          <w:b/>
          <w:color w:val="000000" w:themeColor="text1"/>
          <w:sz w:val="22"/>
          <w:szCs w:val="22"/>
        </w:rPr>
        <w:t xml:space="preserve">SEXTO. </w:t>
      </w:r>
      <w:r w:rsidRPr="005D34B7">
        <w:rPr>
          <w:rFonts w:ascii="Arial" w:eastAsia="Arial" w:hAnsi="Arial" w:cs="Arial"/>
          <w:color w:val="000000" w:themeColor="text1"/>
          <w:sz w:val="22"/>
          <w:szCs w:val="22"/>
        </w:rPr>
        <w:t xml:space="preserve">Las personas físicas y morales que se encuentran listadas en el </w:t>
      </w:r>
      <w:r w:rsidRPr="005D34B7">
        <w:rPr>
          <w:rFonts w:ascii="Arial" w:eastAsia="Arial" w:hAnsi="Arial" w:cs="Arial"/>
          <w:b/>
          <w:color w:val="000000" w:themeColor="text1"/>
          <w:sz w:val="22"/>
          <w:szCs w:val="22"/>
        </w:rPr>
        <w:t xml:space="preserve">ANEXO 6 </w:t>
      </w:r>
      <w:r w:rsidRPr="005D34B7">
        <w:rPr>
          <w:rFonts w:ascii="Arial" w:eastAsia="Arial" w:hAnsi="Arial" w:cs="Arial"/>
          <w:color w:val="000000" w:themeColor="text1"/>
          <w:sz w:val="22"/>
          <w:szCs w:val="22"/>
        </w:rPr>
        <w:t>no se incluyen en el padrón debido a que el recurso que se les proporcionó fue por diversos conceptos que forman parte de otras obligaciones establecidas en el artículo 70 de la Ley general o bien no es posible identificarlas con los datos que se proporcionaron.</w:t>
      </w:r>
    </w:p>
    <w:p w14:paraId="3D90C21E"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7573D55B" w14:textId="50BCDA4F" w:rsidR="00DC0AF8" w:rsidRDefault="00DC0AF8" w:rsidP="00DC0AF8">
      <w:pPr>
        <w:spacing w:line="276" w:lineRule="auto"/>
        <w:jc w:val="both"/>
        <w:rPr>
          <w:rFonts w:ascii="Arial" w:eastAsia="Arial" w:hAnsi="Arial" w:cs="Arial"/>
          <w:color w:val="000000" w:themeColor="text1"/>
          <w:sz w:val="22"/>
          <w:szCs w:val="22"/>
        </w:rPr>
      </w:pPr>
      <w:r>
        <w:rPr>
          <w:rFonts w:ascii="Arial" w:eastAsia="Arial" w:hAnsi="Arial" w:cs="Arial"/>
          <w:b/>
          <w:color w:val="000000" w:themeColor="text1"/>
          <w:sz w:val="22"/>
          <w:szCs w:val="22"/>
        </w:rPr>
        <w:t>SÉ</w:t>
      </w:r>
      <w:r w:rsidRPr="00DC2D13">
        <w:rPr>
          <w:rFonts w:ascii="Arial" w:eastAsia="Arial" w:hAnsi="Arial" w:cs="Arial"/>
          <w:b/>
          <w:color w:val="000000" w:themeColor="text1"/>
          <w:sz w:val="22"/>
          <w:szCs w:val="22"/>
        </w:rPr>
        <w:t>PTIMO.</w:t>
      </w:r>
      <w:r w:rsidRPr="00DC2D13">
        <w:rPr>
          <w:rFonts w:ascii="Arial" w:eastAsia="Arial" w:hAnsi="Arial" w:cs="Arial"/>
          <w:color w:val="000000" w:themeColor="text1"/>
          <w:sz w:val="22"/>
          <w:szCs w:val="22"/>
        </w:rPr>
        <w:t xml:space="preserve"> Túrnese el presente dictamen con sus </w:t>
      </w:r>
      <w:r w:rsidRPr="0032757D">
        <w:rPr>
          <w:rFonts w:ascii="Arial" w:eastAsia="Arial" w:hAnsi="Arial" w:cs="Arial"/>
          <w:b/>
          <w:color w:val="000000" w:themeColor="text1"/>
          <w:sz w:val="22"/>
          <w:szCs w:val="22"/>
        </w:rPr>
        <w:t>ANEXOS</w:t>
      </w:r>
      <w:r w:rsidRPr="00DC2D13">
        <w:rPr>
          <w:rFonts w:ascii="Arial" w:eastAsia="Arial" w:hAnsi="Arial" w:cs="Arial"/>
          <w:color w:val="000000" w:themeColor="text1"/>
          <w:sz w:val="22"/>
          <w:szCs w:val="22"/>
        </w:rPr>
        <w:t xml:space="preserve"> a la Secretaría de Acceso a la Información, a fin de que, en términos de lo dispuesto en los Lineamientos Generales, determine lo conducente y, en su caso, emita su visto bueno, a efecto de que la Dirección General de Evaluación integre el</w:t>
      </w:r>
      <w:r w:rsidRPr="00DC2D13">
        <w:rPr>
          <w:rFonts w:ascii="Arial" w:eastAsia="Arial" w:hAnsi="Arial" w:cs="Arial"/>
          <w:b/>
          <w:color w:val="000000" w:themeColor="text1"/>
          <w:sz w:val="22"/>
          <w:szCs w:val="22"/>
        </w:rPr>
        <w:t xml:space="preserve"> </w:t>
      </w:r>
      <w:r w:rsidRPr="00DC2D13">
        <w:rPr>
          <w:rFonts w:ascii="Arial" w:eastAsia="Arial" w:hAnsi="Arial" w:cs="Arial"/>
          <w:color w:val="000000" w:themeColor="text1"/>
          <w:sz w:val="22"/>
          <w:szCs w:val="22"/>
        </w:rPr>
        <w:t xml:space="preserve">padrón de personas físicas y morales correspondiente al ciclo </w:t>
      </w:r>
      <w:r w:rsidRPr="00EE7AE1">
        <w:rPr>
          <w:rFonts w:ascii="Arial" w:eastAsia="Arial" w:hAnsi="Arial" w:cs="Arial"/>
          <w:color w:val="000000" w:themeColor="text1"/>
          <w:sz w:val="22"/>
          <w:szCs w:val="22"/>
        </w:rPr>
        <w:t xml:space="preserve">fiscal </w:t>
      </w:r>
      <w:r w:rsidR="007A5CFC" w:rsidRPr="00EE7AE1">
        <w:rPr>
          <w:rFonts w:ascii="Arial" w:eastAsia="Arial" w:hAnsi="Arial" w:cs="Arial"/>
          <w:color w:val="000000" w:themeColor="text1"/>
          <w:sz w:val="22"/>
          <w:szCs w:val="22"/>
        </w:rPr>
        <w:t>202</w:t>
      </w:r>
      <w:r w:rsidR="00BA5B4F" w:rsidRPr="00EE7AE1">
        <w:rPr>
          <w:rFonts w:ascii="Arial" w:eastAsia="Arial" w:hAnsi="Arial" w:cs="Arial"/>
          <w:color w:val="000000" w:themeColor="text1"/>
          <w:sz w:val="22"/>
          <w:szCs w:val="22"/>
        </w:rPr>
        <w:t>2</w:t>
      </w:r>
      <w:r w:rsidRPr="00EE7AE1">
        <w:rPr>
          <w:rFonts w:ascii="Arial" w:eastAsia="Arial" w:hAnsi="Arial" w:cs="Arial"/>
          <w:color w:val="000000" w:themeColor="text1"/>
          <w:sz w:val="22"/>
          <w:szCs w:val="22"/>
        </w:rPr>
        <w:t>,</w:t>
      </w:r>
      <w:r w:rsidRPr="00EE7AE1">
        <w:rPr>
          <w:rFonts w:ascii="Arial" w:eastAsia="Arial" w:hAnsi="Arial" w:cs="Arial"/>
          <w:b/>
          <w:color w:val="000000" w:themeColor="text1"/>
          <w:sz w:val="22"/>
          <w:szCs w:val="22"/>
        </w:rPr>
        <w:t xml:space="preserve"> </w:t>
      </w:r>
      <w:r w:rsidRPr="00EE7AE1">
        <w:rPr>
          <w:rFonts w:ascii="Arial" w:eastAsia="Arial" w:hAnsi="Arial" w:cs="Arial"/>
          <w:color w:val="000000" w:themeColor="text1"/>
          <w:sz w:val="22"/>
          <w:szCs w:val="22"/>
        </w:rPr>
        <w:t>con</w:t>
      </w:r>
      <w:r w:rsidRPr="00881843">
        <w:rPr>
          <w:rFonts w:ascii="Arial" w:eastAsia="Arial" w:hAnsi="Arial" w:cs="Arial"/>
          <w:color w:val="000000" w:themeColor="text1"/>
          <w:sz w:val="22"/>
          <w:szCs w:val="22"/>
        </w:rPr>
        <w:t xml:space="preserve"> fundamento</w:t>
      </w:r>
      <w:r w:rsidRPr="00DC2D13">
        <w:rPr>
          <w:rFonts w:ascii="Arial" w:eastAsia="Arial" w:hAnsi="Arial" w:cs="Arial"/>
          <w:color w:val="000000" w:themeColor="text1"/>
          <w:sz w:val="22"/>
          <w:szCs w:val="22"/>
        </w:rPr>
        <w:t xml:space="preserve"> en lo establecido en el numeral 37, fracción XII del  Estatuto Orgánico del Instituto Nacional de Transparencia, Acceso a la Información y Protección de Datos Personales, así como el Décimo segundo de los Lineamientos Generales </w:t>
      </w:r>
      <w:proofErr w:type="spellStart"/>
      <w:r w:rsidRPr="00DC2D13">
        <w:rPr>
          <w:rFonts w:ascii="Arial" w:eastAsia="Arial" w:hAnsi="Arial" w:cs="Arial"/>
          <w:color w:val="000000" w:themeColor="text1"/>
          <w:sz w:val="22"/>
          <w:szCs w:val="22"/>
        </w:rPr>
        <w:t>PFyM</w:t>
      </w:r>
      <w:proofErr w:type="spellEnd"/>
      <w:r w:rsidRPr="00DC2D13">
        <w:rPr>
          <w:rFonts w:ascii="Arial" w:eastAsia="Arial" w:hAnsi="Arial" w:cs="Arial"/>
          <w:color w:val="000000" w:themeColor="text1"/>
          <w:sz w:val="22"/>
          <w:szCs w:val="22"/>
        </w:rPr>
        <w:t xml:space="preserve"> y, una vez concluido, se presente al Pleno, a través de la Secretaría Técnica del Pleno para su aprobación. </w:t>
      </w:r>
      <w:r w:rsidRPr="00DC2D13">
        <w:rPr>
          <w:rFonts w:ascii="Arial" w:eastAsia="Arial" w:hAnsi="Arial" w:cs="Arial"/>
          <w:b/>
          <w:color w:val="000000" w:themeColor="text1"/>
          <w:sz w:val="22"/>
          <w:szCs w:val="22"/>
        </w:rPr>
        <w:t>CÚMPLASE</w:t>
      </w:r>
      <w:r w:rsidRPr="00DC2D13">
        <w:rPr>
          <w:rFonts w:ascii="Arial" w:eastAsia="Arial" w:hAnsi="Arial" w:cs="Arial"/>
          <w:color w:val="000000" w:themeColor="text1"/>
          <w:sz w:val="22"/>
          <w:szCs w:val="22"/>
        </w:rPr>
        <w:t xml:space="preserve">. </w:t>
      </w:r>
    </w:p>
    <w:p w14:paraId="20A2DFF2" w14:textId="77777777" w:rsidR="0027147F" w:rsidRPr="00DC2D13" w:rsidRDefault="0027147F" w:rsidP="00DC0AF8">
      <w:pPr>
        <w:spacing w:line="276" w:lineRule="auto"/>
        <w:jc w:val="both"/>
        <w:rPr>
          <w:rFonts w:ascii="Arial" w:eastAsia="Arial" w:hAnsi="Arial" w:cs="Arial"/>
          <w:b/>
          <w:color w:val="000000" w:themeColor="text1"/>
          <w:sz w:val="22"/>
          <w:szCs w:val="22"/>
        </w:rPr>
      </w:pPr>
    </w:p>
    <w:p w14:paraId="77CD09CD" w14:textId="77777777" w:rsidR="00DC0AF8" w:rsidRPr="00DC2D13" w:rsidRDefault="00DC0AF8" w:rsidP="00DC0AF8">
      <w:pPr>
        <w:spacing w:line="276" w:lineRule="auto"/>
        <w:jc w:val="both"/>
        <w:rPr>
          <w:rFonts w:ascii="Arial" w:eastAsia="Arial" w:hAnsi="Arial" w:cs="Arial"/>
          <w:color w:val="000000" w:themeColor="text1"/>
          <w:sz w:val="22"/>
          <w:szCs w:val="22"/>
        </w:rPr>
      </w:pPr>
    </w:p>
    <w:p w14:paraId="0FFE0685" w14:textId="04EC8007" w:rsidR="00DC0AF8" w:rsidRDefault="00DC0AF8" w:rsidP="00DC0AF8">
      <w:pPr>
        <w:spacing w:line="276" w:lineRule="auto"/>
        <w:jc w:val="both"/>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Así lo elaboró</w:t>
      </w:r>
      <w:r w:rsidR="00BF3E7E" w:rsidRPr="00881843">
        <w:rPr>
          <w:rFonts w:ascii="Arial" w:eastAsia="Arial" w:hAnsi="Arial" w:cs="Arial"/>
          <w:b/>
          <w:color w:val="000000" w:themeColor="text1"/>
          <w:sz w:val="22"/>
          <w:szCs w:val="22"/>
        </w:rPr>
        <w:t xml:space="preserve"> </w:t>
      </w:r>
      <w:r w:rsidR="007A5CFC" w:rsidRPr="00881843">
        <w:rPr>
          <w:rFonts w:ascii="Arial" w:eastAsia="Arial" w:hAnsi="Arial" w:cs="Arial"/>
          <w:b/>
          <w:color w:val="000000" w:themeColor="text1"/>
          <w:sz w:val="22"/>
          <w:szCs w:val="22"/>
        </w:rPr>
        <w:t>Víctor Manuel Díaz Vázquez</w:t>
      </w:r>
      <w:r w:rsidRPr="00881843">
        <w:rPr>
          <w:rFonts w:ascii="Arial" w:eastAsia="Arial" w:hAnsi="Arial" w:cs="Arial"/>
          <w:b/>
          <w:color w:val="000000" w:themeColor="text1"/>
          <w:sz w:val="22"/>
          <w:szCs w:val="22"/>
        </w:rPr>
        <w:t xml:space="preserve">, </w:t>
      </w:r>
      <w:proofErr w:type="gramStart"/>
      <w:r w:rsidRPr="00881843">
        <w:rPr>
          <w:rFonts w:ascii="Arial" w:eastAsia="Arial" w:hAnsi="Arial" w:cs="Arial"/>
          <w:b/>
          <w:color w:val="000000" w:themeColor="text1"/>
          <w:sz w:val="22"/>
          <w:szCs w:val="22"/>
        </w:rPr>
        <w:t>Director</w:t>
      </w:r>
      <w:r w:rsidRPr="00881843">
        <w:t xml:space="preserve"> </w:t>
      </w:r>
      <w:r w:rsidRPr="00881843">
        <w:rPr>
          <w:rFonts w:ascii="Arial" w:eastAsia="Arial" w:hAnsi="Arial" w:cs="Arial"/>
          <w:b/>
          <w:color w:val="000000" w:themeColor="text1"/>
          <w:sz w:val="22"/>
          <w:szCs w:val="22"/>
        </w:rPr>
        <w:t>General</w:t>
      </w:r>
      <w:proofErr w:type="gramEnd"/>
      <w:r w:rsidRPr="00881843">
        <w:rPr>
          <w:rFonts w:ascii="Arial" w:eastAsia="Arial" w:hAnsi="Arial" w:cs="Arial"/>
          <w:b/>
          <w:color w:val="000000" w:themeColor="text1"/>
          <w:sz w:val="22"/>
          <w:szCs w:val="22"/>
        </w:rPr>
        <w:t xml:space="preserve"> de Enlace con Autoridades, Laborales, Sindicatos, Universidades, Personas Físicas y Morales y lo revisó </w:t>
      </w:r>
      <w:r w:rsidR="007A5CFC" w:rsidRPr="0027147F">
        <w:rPr>
          <w:rFonts w:ascii="Arial" w:eastAsia="Arial" w:hAnsi="Arial" w:cs="Arial"/>
          <w:b/>
          <w:color w:val="000000" w:themeColor="text1"/>
          <w:sz w:val="22"/>
          <w:szCs w:val="22"/>
        </w:rPr>
        <w:t>Ileana Hidalgo Rioja, Secretaria</w:t>
      </w:r>
      <w:r w:rsidRPr="0027147F">
        <w:rPr>
          <w:rFonts w:ascii="Arial" w:eastAsia="Arial" w:hAnsi="Arial" w:cs="Arial"/>
          <w:b/>
          <w:color w:val="000000" w:themeColor="text1"/>
          <w:sz w:val="22"/>
          <w:szCs w:val="22"/>
        </w:rPr>
        <w:t xml:space="preserve"> de Acceso a la Información, en la Ciudad de México, </w:t>
      </w:r>
      <w:r w:rsidR="0027147F" w:rsidRPr="0027147F">
        <w:rPr>
          <w:rFonts w:ascii="Arial" w:eastAsia="Arial" w:hAnsi="Arial" w:cs="Arial"/>
          <w:b/>
          <w:color w:val="000000" w:themeColor="text1"/>
          <w:sz w:val="22"/>
          <w:szCs w:val="22"/>
        </w:rPr>
        <w:t xml:space="preserve">el </w:t>
      </w:r>
      <w:r w:rsidR="00EE7AE1">
        <w:rPr>
          <w:rFonts w:ascii="Arial" w:eastAsia="Arial" w:hAnsi="Arial" w:cs="Arial"/>
          <w:b/>
          <w:color w:val="000000" w:themeColor="text1"/>
          <w:sz w:val="22"/>
          <w:szCs w:val="22"/>
        </w:rPr>
        <w:t xml:space="preserve">veintidós de marzo </w:t>
      </w:r>
      <w:r w:rsidR="0027147F" w:rsidRPr="0027147F">
        <w:rPr>
          <w:rFonts w:ascii="Arial" w:eastAsia="Arial" w:hAnsi="Arial" w:cs="Arial"/>
          <w:b/>
          <w:color w:val="000000" w:themeColor="text1"/>
          <w:sz w:val="22"/>
          <w:szCs w:val="22"/>
        </w:rPr>
        <w:t xml:space="preserve">de dos mil </w:t>
      </w:r>
      <w:r w:rsidR="00EE7AE1" w:rsidRPr="0027147F">
        <w:rPr>
          <w:rFonts w:ascii="Arial" w:eastAsia="Arial" w:hAnsi="Arial" w:cs="Arial"/>
          <w:b/>
          <w:color w:val="000000" w:themeColor="text1"/>
          <w:sz w:val="22"/>
          <w:szCs w:val="22"/>
        </w:rPr>
        <w:t>veinti</w:t>
      </w:r>
      <w:r w:rsidR="00EE7AE1">
        <w:rPr>
          <w:rFonts w:ascii="Arial" w:eastAsia="Arial" w:hAnsi="Arial" w:cs="Arial"/>
          <w:b/>
          <w:color w:val="000000" w:themeColor="text1"/>
          <w:sz w:val="22"/>
          <w:szCs w:val="22"/>
        </w:rPr>
        <w:t>trés</w:t>
      </w:r>
      <w:r w:rsidRPr="0027147F">
        <w:rPr>
          <w:rFonts w:ascii="Arial" w:eastAsia="Arial" w:hAnsi="Arial" w:cs="Arial"/>
          <w:b/>
          <w:color w:val="000000" w:themeColor="text1"/>
          <w:sz w:val="22"/>
          <w:szCs w:val="22"/>
        </w:rPr>
        <w:t>.</w:t>
      </w:r>
    </w:p>
    <w:p w14:paraId="23761A76" w14:textId="77777777" w:rsidR="0027147F" w:rsidRDefault="0027147F" w:rsidP="00DC0AF8">
      <w:pPr>
        <w:spacing w:line="276" w:lineRule="auto"/>
        <w:jc w:val="both"/>
        <w:rPr>
          <w:rFonts w:ascii="Arial" w:eastAsia="Arial" w:hAnsi="Arial" w:cs="Arial"/>
          <w:b/>
          <w:color w:val="000000" w:themeColor="text1"/>
          <w:sz w:val="22"/>
          <w:szCs w:val="22"/>
        </w:rPr>
      </w:pPr>
    </w:p>
    <w:p w14:paraId="04E1E8A7" w14:textId="77777777" w:rsidR="0027147F" w:rsidRDefault="0027147F" w:rsidP="00DC0AF8">
      <w:pPr>
        <w:spacing w:line="276" w:lineRule="auto"/>
        <w:jc w:val="both"/>
        <w:rPr>
          <w:rFonts w:ascii="Arial" w:eastAsia="Arial" w:hAnsi="Arial" w:cs="Arial"/>
          <w:b/>
          <w:color w:val="000000" w:themeColor="text1"/>
          <w:sz w:val="22"/>
          <w:szCs w:val="22"/>
        </w:rPr>
      </w:pPr>
    </w:p>
    <w:p w14:paraId="31867A47" w14:textId="77777777" w:rsidR="003E67F3" w:rsidRPr="00DC2D13" w:rsidRDefault="003E67F3" w:rsidP="00DC0AF8">
      <w:pPr>
        <w:spacing w:line="276" w:lineRule="auto"/>
        <w:jc w:val="both"/>
        <w:rPr>
          <w:rFonts w:ascii="Arial" w:eastAsia="Arial" w:hAnsi="Arial" w:cs="Arial"/>
          <w:b/>
          <w:color w:val="000000" w:themeColor="text1"/>
          <w:sz w:val="22"/>
          <w:szCs w:val="22"/>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0"/>
        <w:gridCol w:w="4461"/>
      </w:tblGrid>
      <w:tr w:rsidR="00DC0AF8" w:rsidRPr="00DC2D13" w14:paraId="3EC2206B" w14:textId="77777777" w:rsidTr="00902B65">
        <w:trPr>
          <w:trHeight w:val="2571"/>
        </w:trPr>
        <w:tc>
          <w:tcPr>
            <w:tcW w:w="4460" w:type="dxa"/>
          </w:tcPr>
          <w:p w14:paraId="1F4CD856" w14:textId="77777777" w:rsidR="00DC0AF8" w:rsidRPr="00881843" w:rsidRDefault="00DC0AF8"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Elaboró</w:t>
            </w:r>
          </w:p>
          <w:p w14:paraId="621421AC" w14:textId="77777777" w:rsidR="00DC0AF8" w:rsidRPr="00881843" w:rsidRDefault="00DC0AF8" w:rsidP="00902B65">
            <w:pPr>
              <w:spacing w:line="276" w:lineRule="auto"/>
              <w:rPr>
                <w:rFonts w:ascii="Arial" w:eastAsia="Arial" w:hAnsi="Arial" w:cs="Arial"/>
                <w:b/>
                <w:color w:val="000000" w:themeColor="text1"/>
                <w:sz w:val="22"/>
                <w:szCs w:val="22"/>
              </w:rPr>
            </w:pPr>
          </w:p>
          <w:p w14:paraId="0F0DCD3D" w14:textId="77777777" w:rsidR="003E67F3" w:rsidRPr="00881843" w:rsidRDefault="003E67F3" w:rsidP="00902B65">
            <w:pPr>
              <w:spacing w:line="276" w:lineRule="auto"/>
              <w:rPr>
                <w:rFonts w:ascii="Arial" w:eastAsia="Arial" w:hAnsi="Arial" w:cs="Arial"/>
                <w:b/>
                <w:color w:val="000000" w:themeColor="text1"/>
                <w:sz w:val="22"/>
                <w:szCs w:val="22"/>
              </w:rPr>
            </w:pPr>
          </w:p>
          <w:p w14:paraId="395CB9CC" w14:textId="77777777" w:rsidR="00DC0AF8" w:rsidRPr="00881843" w:rsidRDefault="00DC0AF8" w:rsidP="00902B65">
            <w:pPr>
              <w:spacing w:line="276" w:lineRule="auto"/>
              <w:jc w:val="center"/>
              <w:rPr>
                <w:rFonts w:ascii="Arial" w:eastAsia="Arial" w:hAnsi="Arial" w:cs="Arial"/>
                <w:b/>
                <w:color w:val="000000" w:themeColor="text1"/>
                <w:sz w:val="22"/>
                <w:szCs w:val="22"/>
              </w:rPr>
            </w:pPr>
          </w:p>
          <w:p w14:paraId="355099AE" w14:textId="17E60578" w:rsidR="00DC0AF8" w:rsidRPr="00881843" w:rsidRDefault="007A5CFC"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Dr</w:t>
            </w:r>
            <w:r w:rsidR="00DC0AF8" w:rsidRPr="00881843">
              <w:rPr>
                <w:rFonts w:ascii="Arial" w:eastAsia="Arial" w:hAnsi="Arial" w:cs="Arial"/>
                <w:b/>
                <w:color w:val="000000" w:themeColor="text1"/>
                <w:sz w:val="22"/>
                <w:szCs w:val="22"/>
              </w:rPr>
              <w:t xml:space="preserve">. </w:t>
            </w:r>
            <w:r w:rsidRPr="00881843">
              <w:rPr>
                <w:rFonts w:ascii="Arial" w:eastAsia="Arial" w:hAnsi="Arial" w:cs="Arial"/>
                <w:b/>
                <w:color w:val="000000" w:themeColor="text1"/>
                <w:sz w:val="22"/>
                <w:szCs w:val="22"/>
              </w:rPr>
              <w:t>Víctor Manuel Díaz Vázquez</w:t>
            </w:r>
          </w:p>
          <w:p w14:paraId="7024887E" w14:textId="06825A5D" w:rsidR="00DC0AF8" w:rsidRPr="00881843" w:rsidRDefault="007A5CFC"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Director</w:t>
            </w:r>
            <w:r w:rsidR="00DC0AF8" w:rsidRPr="00881843">
              <w:rPr>
                <w:rFonts w:ascii="Arial" w:eastAsia="Arial" w:hAnsi="Arial" w:cs="Arial"/>
                <w:b/>
                <w:color w:val="000000" w:themeColor="text1"/>
                <w:sz w:val="22"/>
                <w:szCs w:val="22"/>
              </w:rPr>
              <w:t xml:space="preserve"> General de Enlace con Autoridades, Laborales, Sindicatos, Universidades, Personas Físicas y Morales</w:t>
            </w:r>
          </w:p>
          <w:p w14:paraId="44953346" w14:textId="77777777" w:rsidR="00DC0AF8" w:rsidRPr="00881843" w:rsidRDefault="00DC0AF8" w:rsidP="00902B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b/>
                <w:color w:val="000000" w:themeColor="text1"/>
                <w:sz w:val="22"/>
                <w:szCs w:val="22"/>
              </w:rPr>
            </w:pPr>
          </w:p>
        </w:tc>
        <w:tc>
          <w:tcPr>
            <w:tcW w:w="4461" w:type="dxa"/>
          </w:tcPr>
          <w:p w14:paraId="2ADCD4AE" w14:textId="77777777" w:rsidR="00DC0AF8" w:rsidRPr="00881843" w:rsidRDefault="00DC0AF8"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Revisó</w:t>
            </w:r>
          </w:p>
          <w:p w14:paraId="74D7DF4A" w14:textId="77777777" w:rsidR="00DC0AF8" w:rsidRPr="00881843" w:rsidRDefault="00DC0AF8" w:rsidP="00902B65">
            <w:pPr>
              <w:spacing w:line="276" w:lineRule="auto"/>
              <w:jc w:val="center"/>
              <w:rPr>
                <w:rFonts w:ascii="Arial" w:eastAsia="Arial" w:hAnsi="Arial" w:cs="Arial"/>
                <w:b/>
                <w:color w:val="000000" w:themeColor="text1"/>
                <w:sz w:val="22"/>
                <w:szCs w:val="22"/>
              </w:rPr>
            </w:pPr>
          </w:p>
          <w:p w14:paraId="1F874FAA" w14:textId="77777777" w:rsidR="003E67F3" w:rsidRPr="00881843" w:rsidRDefault="003E67F3" w:rsidP="00902B65">
            <w:pPr>
              <w:spacing w:line="276" w:lineRule="auto"/>
              <w:jc w:val="center"/>
              <w:rPr>
                <w:rFonts w:ascii="Arial" w:eastAsia="Arial" w:hAnsi="Arial" w:cs="Arial"/>
                <w:b/>
                <w:color w:val="000000" w:themeColor="text1"/>
                <w:sz w:val="22"/>
                <w:szCs w:val="22"/>
              </w:rPr>
            </w:pPr>
          </w:p>
          <w:p w14:paraId="189E100C" w14:textId="77777777" w:rsidR="00DC0AF8" w:rsidRPr="00881843" w:rsidRDefault="00DC0AF8" w:rsidP="00902B65">
            <w:pPr>
              <w:spacing w:line="276" w:lineRule="auto"/>
              <w:rPr>
                <w:rFonts w:ascii="Arial" w:eastAsia="Arial" w:hAnsi="Arial" w:cs="Arial"/>
                <w:b/>
                <w:color w:val="000000" w:themeColor="text1"/>
                <w:sz w:val="22"/>
                <w:szCs w:val="22"/>
              </w:rPr>
            </w:pPr>
          </w:p>
          <w:p w14:paraId="02DA6113" w14:textId="5A9A17DC" w:rsidR="00DC0AF8" w:rsidRPr="00881843" w:rsidRDefault="007A5CFC"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Dra. Ileana Hidalgo Rioja</w:t>
            </w:r>
          </w:p>
          <w:p w14:paraId="0ECAB8AC" w14:textId="59D70377" w:rsidR="00DC0AF8" w:rsidRPr="00881843" w:rsidRDefault="007A5CFC" w:rsidP="00902B65">
            <w:pPr>
              <w:spacing w:line="276" w:lineRule="auto"/>
              <w:jc w:val="center"/>
              <w:rPr>
                <w:rFonts w:ascii="Arial" w:eastAsia="Arial" w:hAnsi="Arial" w:cs="Arial"/>
                <w:b/>
                <w:color w:val="000000" w:themeColor="text1"/>
                <w:sz w:val="22"/>
                <w:szCs w:val="22"/>
              </w:rPr>
            </w:pPr>
            <w:r w:rsidRPr="00881843">
              <w:rPr>
                <w:rFonts w:ascii="Arial" w:eastAsia="Arial" w:hAnsi="Arial" w:cs="Arial"/>
                <w:b/>
                <w:color w:val="000000" w:themeColor="text1"/>
                <w:sz w:val="22"/>
                <w:szCs w:val="22"/>
              </w:rPr>
              <w:t>Secretaria</w:t>
            </w:r>
            <w:r w:rsidR="00DC0AF8" w:rsidRPr="00881843">
              <w:rPr>
                <w:rFonts w:ascii="Arial" w:eastAsia="Arial" w:hAnsi="Arial" w:cs="Arial"/>
                <w:b/>
                <w:color w:val="000000" w:themeColor="text1"/>
                <w:sz w:val="22"/>
                <w:szCs w:val="22"/>
              </w:rPr>
              <w:t xml:space="preserve"> de Acceso a la Información</w:t>
            </w:r>
          </w:p>
          <w:p w14:paraId="121B5CC1" w14:textId="77777777" w:rsidR="00DC0AF8" w:rsidRPr="00881843" w:rsidRDefault="00DC0AF8" w:rsidP="00902B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b/>
                <w:color w:val="000000" w:themeColor="text1"/>
                <w:sz w:val="22"/>
                <w:szCs w:val="22"/>
              </w:rPr>
            </w:pPr>
          </w:p>
        </w:tc>
      </w:tr>
    </w:tbl>
    <w:p w14:paraId="38628D93" w14:textId="77777777" w:rsidR="00DC0AF8" w:rsidRPr="00DC2D13" w:rsidRDefault="00DC0AF8" w:rsidP="00DC0AF8">
      <w:pPr>
        <w:spacing w:line="276" w:lineRule="auto"/>
        <w:jc w:val="center"/>
        <w:rPr>
          <w:rFonts w:ascii="Arial" w:eastAsia="Arial" w:hAnsi="Arial" w:cs="Arial"/>
          <w:color w:val="000000" w:themeColor="text1"/>
          <w:sz w:val="22"/>
          <w:szCs w:val="22"/>
        </w:rPr>
      </w:pPr>
    </w:p>
    <w:p w14:paraId="37DE1F0A" w14:textId="77777777" w:rsidR="00DC0AF8" w:rsidRPr="00DC2D13" w:rsidRDefault="00DC0AF8" w:rsidP="00DC0AF8">
      <w:pPr>
        <w:spacing w:line="276" w:lineRule="auto"/>
        <w:jc w:val="center"/>
        <w:rPr>
          <w:rFonts w:ascii="Arial" w:eastAsia="Arial" w:hAnsi="Arial" w:cs="Arial"/>
          <w:b/>
          <w:color w:val="000000" w:themeColor="text1"/>
          <w:sz w:val="22"/>
          <w:szCs w:val="22"/>
        </w:rPr>
      </w:pPr>
    </w:p>
    <w:p w14:paraId="4E323BCA" w14:textId="77777777" w:rsidR="005A605B" w:rsidRDefault="005A605B"/>
    <w:sectPr w:rsidR="005A605B" w:rsidSect="00B87819">
      <w:headerReference w:type="default" r:id="rId7"/>
      <w:footerReference w:type="default" r:id="rId8"/>
      <w:pgSz w:w="12240" w:h="15840"/>
      <w:pgMar w:top="2977" w:right="1608"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91F" w14:textId="77777777" w:rsidR="005755CF" w:rsidRDefault="005755CF" w:rsidP="00DC0AF8">
      <w:r>
        <w:separator/>
      </w:r>
    </w:p>
  </w:endnote>
  <w:endnote w:type="continuationSeparator" w:id="0">
    <w:p w14:paraId="12090D1E" w14:textId="77777777" w:rsidR="005755CF" w:rsidRDefault="005755CF" w:rsidP="00DC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A86" w14:textId="77777777" w:rsidR="000E4772" w:rsidRDefault="00D90D58">
    <w:pPr>
      <w:tabs>
        <w:tab w:val="center" w:pos="4419"/>
        <w:tab w:val="right" w:pos="8838"/>
      </w:tabs>
      <w:jc w:val="right"/>
      <w:rPr>
        <w:rFonts w:ascii="Arial" w:eastAsia="Arial" w:hAnsi="Arial" w:cs="Arial"/>
        <w:sz w:val="18"/>
        <w:szCs w:val="18"/>
      </w:rPr>
    </w:pP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625904">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sz w:val="18"/>
        <w:szCs w:val="18"/>
      </w:rPr>
      <w:t xml:space="preserve"> de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625904">
      <w:rPr>
        <w:rFonts w:ascii="Arial" w:eastAsia="Arial" w:hAnsi="Arial" w:cs="Arial"/>
        <w:b/>
        <w:noProof/>
        <w:sz w:val="18"/>
        <w:szCs w:val="18"/>
      </w:rPr>
      <w:t>12</w:t>
    </w:r>
    <w:r>
      <w:rPr>
        <w:rFonts w:ascii="Arial" w:eastAsia="Arial" w:hAnsi="Arial" w:cs="Arial"/>
        <w:b/>
        <w:sz w:val="18"/>
        <w:szCs w:val="18"/>
      </w:rPr>
      <w:fldChar w:fldCharType="end"/>
    </w:r>
  </w:p>
  <w:p w14:paraId="2B5224DE" w14:textId="77777777" w:rsidR="000E4772" w:rsidRDefault="00792106">
    <w:pPr>
      <w:tabs>
        <w:tab w:val="center" w:pos="4419"/>
        <w:tab w:val="right" w:pos="8838"/>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BD85" w14:textId="77777777" w:rsidR="005755CF" w:rsidRDefault="005755CF" w:rsidP="00DC0AF8">
      <w:r>
        <w:separator/>
      </w:r>
    </w:p>
  </w:footnote>
  <w:footnote w:type="continuationSeparator" w:id="0">
    <w:p w14:paraId="3A3DCC98" w14:textId="77777777" w:rsidR="005755CF" w:rsidRDefault="005755CF" w:rsidP="00DC0AF8">
      <w:r>
        <w:continuationSeparator/>
      </w:r>
    </w:p>
  </w:footnote>
  <w:footnote w:id="1">
    <w:p w14:paraId="1ECA8132" w14:textId="46982CAB" w:rsidR="00DC0AF8" w:rsidRPr="00DC2D13" w:rsidRDefault="00DC0AF8" w:rsidP="00DC0AF8">
      <w:pPr>
        <w:autoSpaceDE w:val="0"/>
        <w:autoSpaceDN w:val="0"/>
        <w:jc w:val="both"/>
        <w:rPr>
          <w:rFonts w:ascii="Arial" w:hAnsi="Arial" w:cs="Arial"/>
          <w:sz w:val="20"/>
          <w:szCs w:val="20"/>
        </w:rPr>
      </w:pPr>
      <w:r w:rsidRPr="00DC2D13">
        <w:rPr>
          <w:rStyle w:val="Refdenotaalpie"/>
          <w:rFonts w:ascii="Arial" w:hAnsi="Arial" w:cs="Arial"/>
          <w:sz w:val="20"/>
          <w:szCs w:val="20"/>
        </w:rPr>
        <w:footnoteRef/>
      </w:r>
      <w:r w:rsidRPr="00DC2D13">
        <w:rPr>
          <w:rFonts w:ascii="Arial" w:hAnsi="Arial" w:cs="Arial"/>
          <w:sz w:val="20"/>
          <w:szCs w:val="20"/>
        </w:rPr>
        <w:t xml:space="preserve"> </w:t>
      </w:r>
      <w:r w:rsidRPr="00052C10">
        <w:rPr>
          <w:rFonts w:ascii="Arial" w:hAnsi="Arial" w:cs="Arial"/>
          <w:sz w:val="16"/>
          <w:szCs w:val="16"/>
        </w:rPr>
        <w:t xml:space="preserve">Se consideró el </w:t>
      </w:r>
      <w:r w:rsidR="00B4147D">
        <w:rPr>
          <w:rFonts w:ascii="Arial" w:hAnsi="Arial" w:cs="Arial"/>
          <w:sz w:val="16"/>
          <w:szCs w:val="16"/>
        </w:rPr>
        <w:t xml:space="preserve">valor de la UMA para el </w:t>
      </w:r>
      <w:r w:rsidR="00B4147D" w:rsidRPr="005D34B7">
        <w:rPr>
          <w:rFonts w:ascii="Arial" w:hAnsi="Arial" w:cs="Arial"/>
          <w:sz w:val="16"/>
          <w:szCs w:val="16"/>
        </w:rPr>
        <w:t>año 202</w:t>
      </w:r>
      <w:r w:rsidR="00BA5B4F" w:rsidRPr="005D34B7">
        <w:rPr>
          <w:rFonts w:ascii="Arial" w:hAnsi="Arial" w:cs="Arial"/>
          <w:sz w:val="16"/>
          <w:szCs w:val="16"/>
        </w:rPr>
        <w:t>2</w:t>
      </w:r>
      <w:r w:rsidRPr="005D34B7">
        <w:rPr>
          <w:rFonts w:ascii="Arial" w:hAnsi="Arial" w:cs="Arial"/>
          <w:sz w:val="16"/>
          <w:szCs w:val="16"/>
        </w:rPr>
        <w:t>,</w:t>
      </w:r>
      <w:r w:rsidRPr="00052C10">
        <w:rPr>
          <w:rFonts w:ascii="Arial" w:hAnsi="Arial" w:cs="Arial"/>
          <w:sz w:val="16"/>
          <w:szCs w:val="16"/>
        </w:rPr>
        <w:t xml:space="preserve"> establecido por el Instituto Nacional de Estadística y Geografía. Disponible en https://www.inegi.org.mx/temas/uma/  </w:t>
      </w:r>
    </w:p>
    <w:p w14:paraId="59CB0ABE" w14:textId="77777777" w:rsidR="00DC0AF8" w:rsidRPr="00DC2D13" w:rsidRDefault="00DC0AF8" w:rsidP="00DC0AF8">
      <w:pPr>
        <w:pStyle w:val="Textonotapie"/>
        <w:jc w:val="both"/>
        <w:rPr>
          <w:rFonts w:ascii="Arial" w:hAnsi="Arial" w:cs="Arial"/>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9117" w14:textId="77777777" w:rsidR="000E4772" w:rsidRDefault="00D90D58">
    <w:pPr>
      <w:tabs>
        <w:tab w:val="center" w:pos="4252"/>
        <w:tab w:val="right" w:pos="8504"/>
      </w:tabs>
      <w:spacing w:before="709"/>
      <w:rPr>
        <w:rFonts w:ascii="Arial" w:eastAsia="Arial" w:hAnsi="Arial" w:cs="Arial"/>
        <w:sz w:val="22"/>
        <w:szCs w:val="22"/>
      </w:rPr>
    </w:pPr>
    <w:r>
      <w:rPr>
        <w:noProof/>
        <w:lang w:val="es-ES_tradnl" w:eastAsia="es-ES_tradnl"/>
      </w:rPr>
      <mc:AlternateContent>
        <mc:Choice Requires="wpg">
          <w:drawing>
            <wp:anchor distT="0" distB="0" distL="114300" distR="114300" simplePos="0" relativeHeight="251659264" behindDoc="0" locked="0" layoutInCell="1" hidden="0" allowOverlap="1" wp14:anchorId="50C310DB" wp14:editId="666A8057">
              <wp:simplePos x="0" y="0"/>
              <wp:positionH relativeFrom="margin">
                <wp:posOffset>120014</wp:posOffset>
              </wp:positionH>
              <wp:positionV relativeFrom="paragraph">
                <wp:posOffset>-47625</wp:posOffset>
              </wp:positionV>
              <wp:extent cx="1298575" cy="1771650"/>
              <wp:effectExtent l="0" t="0" r="0" b="0"/>
              <wp:wrapNone/>
              <wp:docPr id="1" name="Grupo 1"/>
              <wp:cNvGraphicFramePr/>
              <a:graphic xmlns:a="http://schemas.openxmlformats.org/drawingml/2006/main">
                <a:graphicData uri="http://schemas.microsoft.com/office/word/2010/wordprocessingGroup">
                  <wpg:wgp>
                    <wpg:cNvGrpSpPr/>
                    <wpg:grpSpPr>
                      <a:xfrm>
                        <a:off x="0" y="0"/>
                        <a:ext cx="1298575" cy="1771650"/>
                        <a:chOff x="4679107" y="3013238"/>
                        <a:chExt cx="1305067" cy="1533508"/>
                      </a:xfrm>
                    </wpg:grpSpPr>
                    <wpg:grpSp>
                      <wpg:cNvPr id="2" name="Grupo 2"/>
                      <wpg:cNvGrpSpPr/>
                      <wpg:grpSpPr>
                        <a:xfrm>
                          <a:off x="4679107" y="3013238"/>
                          <a:ext cx="1305067" cy="1533508"/>
                          <a:chOff x="-34470" y="0"/>
                          <a:chExt cx="1311561" cy="1773150"/>
                        </a:xfrm>
                      </wpg:grpSpPr>
                      <wps:wsp>
                        <wps:cNvPr id="3" name="Rectángulo 3"/>
                        <wps:cNvSpPr/>
                        <wps:spPr>
                          <a:xfrm>
                            <a:off x="-5609" y="0"/>
                            <a:ext cx="1282700" cy="1773150"/>
                          </a:xfrm>
                          <a:prstGeom prst="rect">
                            <a:avLst/>
                          </a:prstGeom>
                          <a:noFill/>
                          <a:ln>
                            <a:noFill/>
                          </a:ln>
                        </wps:spPr>
                        <wps:txbx>
                          <w:txbxContent>
                            <w:p w14:paraId="7A209D52" w14:textId="77777777" w:rsidR="000E4772" w:rsidRDefault="00792106">
                              <w:pPr>
                                <w:textDirection w:val="btLr"/>
                              </w:pPr>
                            </w:p>
                          </w:txbxContent>
                        </wps:txbx>
                        <wps:bodyPr lIns="91425" tIns="91425" rIns="91425" bIns="91425" anchor="ctr" anchorCtr="0"/>
                      </wps:wsp>
                      <wps:wsp>
                        <wps:cNvPr id="4" name="Rectángulo 4"/>
                        <wps:cNvSpPr/>
                        <wps:spPr>
                          <a:xfrm>
                            <a:off x="66675" y="0"/>
                            <a:ext cx="1162685" cy="1144269"/>
                          </a:xfrm>
                          <a:prstGeom prst="rect">
                            <a:avLst/>
                          </a:prstGeom>
                          <a:noFill/>
                          <a:ln>
                            <a:noFill/>
                          </a:ln>
                        </wps:spPr>
                        <wps:txbx>
                          <w:txbxContent>
                            <w:p w14:paraId="4FD37F66" w14:textId="77777777" w:rsidR="000E4772" w:rsidRDefault="00D90D58">
                              <w:pPr>
                                <w:textDirection w:val="btLr"/>
                              </w:pPr>
                              <w:r w:rsidRPr="00C438EA">
                                <w:rPr>
                                  <w:rFonts w:ascii="Century Gothic" w:hAnsi="Century Gothic"/>
                                  <w:noProof/>
                                  <w:lang w:val="es-ES_tradnl" w:eastAsia="es-ES_tradnl"/>
                                </w:rPr>
                                <w:drawing>
                                  <wp:inline distT="0" distB="0" distL="0" distR="0" wp14:anchorId="6473D0BF" wp14:editId="4A1C125E">
                                    <wp:extent cx="885629" cy="787400"/>
                                    <wp:effectExtent l="0" t="0" r="0" b="0"/>
                                    <wp:docPr id="7" name="Imagen 7"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702" cy="791910"/>
                                            </a:xfrm>
                                            <a:prstGeom prst="rect">
                                              <a:avLst/>
                                            </a:prstGeom>
                                            <a:noFill/>
                                            <a:ln>
                                              <a:noFill/>
                                            </a:ln>
                                          </pic:spPr>
                                        </pic:pic>
                                      </a:graphicData>
                                    </a:graphic>
                                  </wp:inline>
                                </w:drawing>
                              </w:r>
                            </w:p>
                          </w:txbxContent>
                        </wps:txbx>
                        <wps:bodyPr lIns="91425" tIns="91425" rIns="91425" bIns="91425" anchor="ctr" anchorCtr="0"/>
                      </wps:wsp>
                      <wps:wsp>
                        <wps:cNvPr id="5" name="Rectángulo 5"/>
                        <wps:cNvSpPr/>
                        <wps:spPr>
                          <a:xfrm>
                            <a:off x="-34470" y="933989"/>
                            <a:ext cx="1282700" cy="626302"/>
                          </a:xfrm>
                          <a:prstGeom prst="rect">
                            <a:avLst/>
                          </a:prstGeom>
                          <a:solidFill>
                            <a:srgbClr val="FFFFFF"/>
                          </a:solidFill>
                          <a:ln>
                            <a:noFill/>
                          </a:ln>
                        </wps:spPr>
                        <wps:txbx>
                          <w:txbxContent>
                            <w:p w14:paraId="3789AE3B" w14:textId="77777777" w:rsidR="000E4772" w:rsidRDefault="00792106">
                              <w:pPr>
                                <w:jc w:val="center"/>
                                <w:textDirection w:val="btLr"/>
                                <w:rPr>
                                  <w:rFonts w:ascii="Arial" w:eastAsia="Arial" w:hAnsi="Arial" w:cs="Arial"/>
                                  <w:sz w:val="14"/>
                                </w:rPr>
                              </w:pPr>
                            </w:p>
                            <w:p w14:paraId="37EDDCEF" w14:textId="77777777" w:rsidR="000E4772" w:rsidRDefault="00D90D58">
                              <w:pPr>
                                <w:jc w:val="center"/>
                                <w:textDirection w:val="btLr"/>
                              </w:pPr>
                              <w:r>
                                <w:rPr>
                                  <w:rFonts w:ascii="Arial" w:eastAsia="Arial" w:hAnsi="Arial" w:cs="Arial"/>
                                  <w:sz w:val="14"/>
                                </w:rPr>
                                <w:t>Instituto Nacional de Transparencia, Acceso a la Información y Protección de Datos Personales</w:t>
                              </w:r>
                            </w:p>
                          </w:txbxContent>
                        </wps:txbx>
                        <wps:bodyPr lIns="91425" tIns="45700" rIns="91425" bIns="45700" anchor="t" anchorCtr="0"/>
                      </wps:wsp>
                    </wpg:grpSp>
                  </wpg:wgp>
                </a:graphicData>
              </a:graphic>
              <wp14:sizeRelH relativeFrom="margin">
                <wp14:pctWidth>0</wp14:pctWidth>
              </wp14:sizeRelH>
              <wp14:sizeRelV relativeFrom="margin">
                <wp14:pctHeight>0</wp14:pctHeight>
              </wp14:sizeRelV>
            </wp:anchor>
          </w:drawing>
        </mc:Choice>
        <mc:Fallback>
          <w:pict>
            <v:group w14:anchorId="50C310DB" id="Grupo 1" o:spid="_x0000_s1026" style="position:absolute;margin-left:9.45pt;margin-top:-3.75pt;width:102.25pt;height:139.5pt;z-index:251659264;mso-position-horizontal-relative:margin;mso-width-relative:margin;mso-height-relative:margin" coordorigin="46791,30132" coordsize="13050,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">
              <v:group id="Grupo 2" o:spid="_x0000_s1027" style="position:absolute;left:46791;top:30132;width:13050;height:15335" coordorigin="-344" coordsize="13115,1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ect id="Rectángulo 3" o:spid="_x0000_s1028" style="position:absolute;left:-56;width:12826;height:17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" filled="f" stroked="f">
                  <v:textbox inset="2.53958mm,2.53958mm,2.53958mm,2.53958mm">
                    <w:txbxContent>
                      <w:p w14:paraId="7A209D52" w14:textId="77777777" w:rsidR="000E4772" w:rsidRDefault="00000000">
                        <w:pPr>
                          <w:textDirection w:val="btLr"/>
                        </w:pPr>
                      </w:p>
                    </w:txbxContent>
                  </v:textbox>
                </v:rect>
                <v:rect id="Rectángulo 4" o:spid="_x0000_s1029" style="position:absolute;left:666;width:11627;height: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" filled="f" stroked="f">
                  <v:textbox inset="2.53958mm,2.53958mm,2.53958mm,2.53958mm">
                    <w:txbxContent>
                      <w:p w14:paraId="4FD37F66" w14:textId="77777777" w:rsidR="000E4772" w:rsidRDefault="00D90D58">
                        <w:pPr>
                          <w:textDirection w:val="btLr"/>
                        </w:pPr>
                        <w:r w:rsidRPr="00C438EA">
                          <w:rPr>
                            <w:rFonts w:ascii="Century Gothic" w:hAnsi="Century Gothic"/>
                            <w:noProof/>
                            <w:lang w:val="es-ES_tradnl" w:eastAsia="es-ES_tradnl"/>
                          </w:rPr>
                          <w:drawing>
                            <wp:inline distT="0" distB="0" distL="0" distR="0" wp14:anchorId="6473D0BF" wp14:editId="4A1C125E">
                              <wp:extent cx="885629" cy="787400"/>
                              <wp:effectExtent l="0" t="0" r="0" b="0"/>
                              <wp:docPr id="7" name="Imagen 7"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0702" cy="791910"/>
                                      </a:xfrm>
                                      <a:prstGeom prst="rect">
                                        <a:avLst/>
                                      </a:prstGeom>
                                      <a:noFill/>
                                      <a:ln>
                                        <a:noFill/>
                                      </a:ln>
                                    </pic:spPr>
                                  </pic:pic>
                                </a:graphicData>
                              </a:graphic>
                            </wp:inline>
                          </w:drawing>
                        </w:r>
                      </w:p>
                    </w:txbxContent>
                  </v:textbox>
                </v:rect>
                <v:rect id="Rectángulo 5" o:spid="_x0000_s1030" style="position:absolute;left:-344;top:9339;width:12826;height:6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" stroked="f">
                  <v:textbox inset="2.53958mm,1.2694mm,2.53958mm,1.2694mm">
                    <w:txbxContent>
                      <w:p w14:paraId="3789AE3B" w14:textId="77777777" w:rsidR="000E4772" w:rsidRDefault="00000000">
                        <w:pPr>
                          <w:jc w:val="center"/>
                          <w:textDirection w:val="btLr"/>
                          <w:rPr>
                            <w:rFonts w:ascii="Arial" w:eastAsia="Arial" w:hAnsi="Arial" w:cs="Arial"/>
                            <w:sz w:val="14"/>
                          </w:rPr>
                        </w:pPr>
                      </w:p>
                      <w:p w14:paraId="37EDDCEF" w14:textId="77777777" w:rsidR="000E4772" w:rsidRDefault="00D90D58">
                        <w:pPr>
                          <w:jc w:val="center"/>
                          <w:textDirection w:val="btLr"/>
                        </w:pPr>
                        <w:r>
                          <w:rPr>
                            <w:rFonts w:ascii="Arial" w:eastAsia="Arial" w:hAnsi="Arial" w:cs="Arial"/>
                            <w:sz w:val="14"/>
                          </w:rPr>
                          <w:t>Instituto Nacional de Transparencia, Acceso a la Información y Protección de Datos Personales</w:t>
                        </w:r>
                      </w:p>
                    </w:txbxContent>
                  </v:textbox>
                </v:rect>
              </v:group>
              <w10:wrap anchorx="margin"/>
            </v:group>
          </w:pict>
        </mc:Fallback>
      </mc:AlternateContent>
    </w:r>
  </w:p>
  <w:p w14:paraId="0E2BD7EE" w14:textId="77777777" w:rsidR="000E4772" w:rsidRDefault="00792106">
    <w:pPr>
      <w:tabs>
        <w:tab w:val="center" w:pos="4252"/>
        <w:tab w:val="right" w:pos="8504"/>
      </w:tabs>
      <w:rPr>
        <w:rFonts w:ascii="Arial" w:eastAsia="Arial" w:hAnsi="Arial" w:cs="Arial"/>
        <w:sz w:val="22"/>
        <w:szCs w:val="22"/>
      </w:rPr>
    </w:pPr>
  </w:p>
  <w:p w14:paraId="43077E42" w14:textId="77777777" w:rsidR="000E4772" w:rsidRDefault="00792106">
    <w:pPr>
      <w:tabs>
        <w:tab w:val="center" w:pos="4252"/>
        <w:tab w:val="right" w:pos="8504"/>
      </w:tabs>
      <w:rPr>
        <w:rFonts w:ascii="Arial" w:eastAsia="Arial" w:hAnsi="Arial" w:cs="Arial"/>
        <w:sz w:val="22"/>
        <w:szCs w:val="22"/>
      </w:rPr>
    </w:pPr>
  </w:p>
  <w:p w14:paraId="118377AE" w14:textId="77777777" w:rsidR="000E4772" w:rsidRDefault="00792106">
    <w:pPr>
      <w:tabs>
        <w:tab w:val="center" w:pos="4252"/>
        <w:tab w:val="right" w:pos="8504"/>
      </w:tabs>
      <w:rPr>
        <w:rFonts w:ascii="Arial" w:eastAsia="Arial" w:hAnsi="Arial" w:cs="Arial"/>
        <w:sz w:val="22"/>
        <w:szCs w:val="22"/>
      </w:rPr>
    </w:pPr>
  </w:p>
  <w:p w14:paraId="7B930F8C" w14:textId="77777777" w:rsidR="000E4772" w:rsidRDefault="00792106">
    <w:pPr>
      <w:tabs>
        <w:tab w:val="center" w:pos="4252"/>
        <w:tab w:val="right" w:pos="8504"/>
      </w:tabs>
      <w:rPr>
        <w:rFonts w:ascii="Arial" w:eastAsia="Arial" w:hAnsi="Arial" w:cs="Arial"/>
        <w:sz w:val="22"/>
        <w:szCs w:val="22"/>
      </w:rPr>
    </w:pPr>
  </w:p>
  <w:p w14:paraId="53C856AF" w14:textId="77777777" w:rsidR="000E4772" w:rsidRDefault="00792106">
    <w:pPr>
      <w:tabs>
        <w:tab w:val="center" w:pos="4252"/>
        <w:tab w:val="right" w:pos="8504"/>
      </w:tabs>
      <w:rPr>
        <w:rFonts w:ascii="Arial" w:eastAsia="Arial" w:hAnsi="Arial" w:cs="Arial"/>
        <w:sz w:val="22"/>
        <w:szCs w:val="22"/>
      </w:rPr>
    </w:pPr>
  </w:p>
  <w:p w14:paraId="47B255E9" w14:textId="77777777" w:rsidR="000E4772" w:rsidRDefault="00792106" w:rsidP="00347D4B">
    <w:pPr>
      <w:pBdr>
        <w:bottom w:val="single" w:sz="12" w:space="0" w:color="000000"/>
      </w:pBdr>
      <w:tabs>
        <w:tab w:val="center" w:pos="4252"/>
        <w:tab w:val="right" w:pos="8504"/>
      </w:tabs>
      <w:rPr>
        <w:rFonts w:ascii="Arial" w:eastAsia="Arial" w:hAnsi="Arial" w:cs="Arial"/>
        <w:sz w:val="22"/>
        <w:szCs w:val="22"/>
      </w:rPr>
    </w:pPr>
  </w:p>
  <w:p w14:paraId="1F96996C" w14:textId="77777777" w:rsidR="000E4772" w:rsidRDefault="00792106" w:rsidP="00347D4B">
    <w:pPr>
      <w:pBdr>
        <w:bottom w:val="single" w:sz="12" w:space="0" w:color="000000"/>
      </w:pBdr>
      <w:tabs>
        <w:tab w:val="center" w:pos="4252"/>
        <w:tab w:val="right" w:pos="8504"/>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9B1"/>
    <w:multiLevelType w:val="multilevel"/>
    <w:tmpl w:val="30385DF8"/>
    <w:lvl w:ilvl="0">
      <w:start w:val="1"/>
      <w:numFmt w:val="decimal"/>
      <w:lvlText w:val="%1."/>
      <w:lvlJc w:val="left"/>
      <w:pPr>
        <w:ind w:left="5682"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A4120"/>
    <w:multiLevelType w:val="hybridMultilevel"/>
    <w:tmpl w:val="6C4639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F75D41"/>
    <w:multiLevelType w:val="multilevel"/>
    <w:tmpl w:val="A6823226"/>
    <w:lvl w:ilvl="0">
      <w:start w:val="1"/>
      <w:numFmt w:val="lowerLetter"/>
      <w:lvlText w:val="%1)"/>
      <w:lvlJc w:val="left"/>
      <w:pPr>
        <w:ind w:left="361" w:hanging="360"/>
      </w:pPr>
      <w:rPr>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num w:numId="1" w16cid:durableId="1651473353">
    <w:abstractNumId w:val="0"/>
  </w:num>
  <w:num w:numId="2" w16cid:durableId="178473247">
    <w:abstractNumId w:val="2"/>
  </w:num>
  <w:num w:numId="3" w16cid:durableId="189635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F8"/>
    <w:rsid w:val="00005A9F"/>
    <w:rsid w:val="00044BE3"/>
    <w:rsid w:val="00062800"/>
    <w:rsid w:val="000834FD"/>
    <w:rsid w:val="00092553"/>
    <w:rsid w:val="000B3FA7"/>
    <w:rsid w:val="000B49F7"/>
    <w:rsid w:val="000E6CDC"/>
    <w:rsid w:val="00106B78"/>
    <w:rsid w:val="001229CC"/>
    <w:rsid w:val="001316E3"/>
    <w:rsid w:val="00165220"/>
    <w:rsid w:val="001817FD"/>
    <w:rsid w:val="00184D80"/>
    <w:rsid w:val="0024302E"/>
    <w:rsid w:val="002452C9"/>
    <w:rsid w:val="00254509"/>
    <w:rsid w:val="00264FC7"/>
    <w:rsid w:val="002666D1"/>
    <w:rsid w:val="0027147F"/>
    <w:rsid w:val="002F2DFC"/>
    <w:rsid w:val="003A21E6"/>
    <w:rsid w:val="003E67F3"/>
    <w:rsid w:val="00415785"/>
    <w:rsid w:val="00427E48"/>
    <w:rsid w:val="004428F0"/>
    <w:rsid w:val="00467F39"/>
    <w:rsid w:val="00485329"/>
    <w:rsid w:val="004A7A63"/>
    <w:rsid w:val="004D1D9A"/>
    <w:rsid w:val="004E1E90"/>
    <w:rsid w:val="004E5874"/>
    <w:rsid w:val="005109C6"/>
    <w:rsid w:val="00511661"/>
    <w:rsid w:val="0052200C"/>
    <w:rsid w:val="005646C4"/>
    <w:rsid w:val="00565622"/>
    <w:rsid w:val="005662F0"/>
    <w:rsid w:val="005755CF"/>
    <w:rsid w:val="00583E4B"/>
    <w:rsid w:val="00587C31"/>
    <w:rsid w:val="005A08ED"/>
    <w:rsid w:val="005A605B"/>
    <w:rsid w:val="005C1E67"/>
    <w:rsid w:val="005C736E"/>
    <w:rsid w:val="005D34B7"/>
    <w:rsid w:val="00625904"/>
    <w:rsid w:val="00631B5B"/>
    <w:rsid w:val="00651F1F"/>
    <w:rsid w:val="00766A88"/>
    <w:rsid w:val="00792106"/>
    <w:rsid w:val="0079324A"/>
    <w:rsid w:val="007A5CFC"/>
    <w:rsid w:val="007B0A2C"/>
    <w:rsid w:val="007C3C41"/>
    <w:rsid w:val="007E2C1A"/>
    <w:rsid w:val="00802615"/>
    <w:rsid w:val="0080542D"/>
    <w:rsid w:val="00823F40"/>
    <w:rsid w:val="00835781"/>
    <w:rsid w:val="00846A31"/>
    <w:rsid w:val="00881843"/>
    <w:rsid w:val="008D1E12"/>
    <w:rsid w:val="00901D5D"/>
    <w:rsid w:val="0093186D"/>
    <w:rsid w:val="009357B9"/>
    <w:rsid w:val="00961237"/>
    <w:rsid w:val="009821A8"/>
    <w:rsid w:val="00986303"/>
    <w:rsid w:val="0099664B"/>
    <w:rsid w:val="009E4B5F"/>
    <w:rsid w:val="00A21E98"/>
    <w:rsid w:val="00A7030F"/>
    <w:rsid w:val="00A76999"/>
    <w:rsid w:val="00AF0040"/>
    <w:rsid w:val="00B06FE2"/>
    <w:rsid w:val="00B40766"/>
    <w:rsid w:val="00B4147D"/>
    <w:rsid w:val="00B57B45"/>
    <w:rsid w:val="00B716B0"/>
    <w:rsid w:val="00B726B4"/>
    <w:rsid w:val="00B8770B"/>
    <w:rsid w:val="00B87A0B"/>
    <w:rsid w:val="00BA5B4F"/>
    <w:rsid w:val="00BC1EDD"/>
    <w:rsid w:val="00BF3E7E"/>
    <w:rsid w:val="00C26C65"/>
    <w:rsid w:val="00C27A49"/>
    <w:rsid w:val="00C6174C"/>
    <w:rsid w:val="00C75FC6"/>
    <w:rsid w:val="00C874F2"/>
    <w:rsid w:val="00C94C41"/>
    <w:rsid w:val="00CD6758"/>
    <w:rsid w:val="00D059AE"/>
    <w:rsid w:val="00D44ACC"/>
    <w:rsid w:val="00D50C0A"/>
    <w:rsid w:val="00D64933"/>
    <w:rsid w:val="00D76669"/>
    <w:rsid w:val="00D857D4"/>
    <w:rsid w:val="00D90D58"/>
    <w:rsid w:val="00DC0AF8"/>
    <w:rsid w:val="00DD2201"/>
    <w:rsid w:val="00E45BF0"/>
    <w:rsid w:val="00E8332D"/>
    <w:rsid w:val="00EA68AA"/>
    <w:rsid w:val="00EB0E3C"/>
    <w:rsid w:val="00EC12AD"/>
    <w:rsid w:val="00EC24FB"/>
    <w:rsid w:val="00EC4151"/>
    <w:rsid w:val="00EE7AE1"/>
    <w:rsid w:val="00F418D7"/>
    <w:rsid w:val="00F464D2"/>
    <w:rsid w:val="00F56791"/>
    <w:rsid w:val="00F76530"/>
    <w:rsid w:val="00F82BF7"/>
    <w:rsid w:val="00F9734F"/>
    <w:rsid w:val="00FF1B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77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AF8"/>
    <w:pPr>
      <w:pBdr>
        <w:top w:val="nil"/>
        <w:left w:val="nil"/>
        <w:bottom w:val="nil"/>
        <w:right w:val="nil"/>
        <w:between w:val="nil"/>
      </w:pBdr>
    </w:pPr>
    <w:rPr>
      <w:rFonts w:ascii="Times New Roman" w:eastAsia="Times New Roman" w:hAnsi="Times New Roman" w:cs="Times New Roman"/>
      <w:color w:val="00000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AF8"/>
    <w:pPr>
      <w:tabs>
        <w:tab w:val="center" w:pos="4419"/>
        <w:tab w:val="right" w:pos="8838"/>
      </w:tabs>
    </w:pPr>
  </w:style>
  <w:style w:type="character" w:customStyle="1" w:styleId="EncabezadoCar">
    <w:name w:val="Encabezado Car"/>
    <w:basedOn w:val="Fuentedeprrafopredeter"/>
    <w:link w:val="Encabezado"/>
    <w:uiPriority w:val="99"/>
    <w:rsid w:val="00DC0AF8"/>
    <w:rPr>
      <w:rFonts w:ascii="Times New Roman" w:eastAsia="Times New Roman" w:hAnsi="Times New Roman" w:cs="Times New Roman"/>
      <w:color w:val="000000"/>
      <w:lang w:val="es-ES" w:eastAsia="es-MX"/>
    </w:rPr>
  </w:style>
  <w:style w:type="paragraph" w:styleId="Piedepgina">
    <w:name w:val="footer"/>
    <w:basedOn w:val="Normal"/>
    <w:link w:val="PiedepginaCar"/>
    <w:uiPriority w:val="99"/>
    <w:unhideWhenUsed/>
    <w:rsid w:val="00DC0AF8"/>
    <w:pPr>
      <w:tabs>
        <w:tab w:val="center" w:pos="4419"/>
        <w:tab w:val="right" w:pos="8838"/>
      </w:tabs>
    </w:pPr>
  </w:style>
  <w:style w:type="character" w:customStyle="1" w:styleId="PiedepginaCar">
    <w:name w:val="Pie de página Car"/>
    <w:basedOn w:val="Fuentedeprrafopredeter"/>
    <w:link w:val="Piedepgina"/>
    <w:uiPriority w:val="99"/>
    <w:rsid w:val="00DC0AF8"/>
    <w:rPr>
      <w:rFonts w:ascii="Times New Roman" w:eastAsia="Times New Roman" w:hAnsi="Times New Roman" w:cs="Times New Roman"/>
      <w:color w:val="000000"/>
      <w:lang w:val="es-ES" w:eastAsia="es-MX"/>
    </w:rPr>
  </w:style>
  <w:style w:type="paragraph" w:styleId="Prrafodelista">
    <w:name w:val="List Paragraph"/>
    <w:aliases w:val="lp1,List Paragraph1,Dot pt,Colorful List - Accent 11,No Spacing1,List Paragraph Char Char Char,Indicator Text,Numbered Para 1,Bullet 1,F5 List Paragraph,Bullet Points,List Paragraph"/>
    <w:basedOn w:val="Normal"/>
    <w:link w:val="PrrafodelistaCar"/>
    <w:uiPriority w:val="34"/>
    <w:qFormat/>
    <w:rsid w:val="00DC0AF8"/>
    <w:pPr>
      <w:ind w:left="720"/>
      <w:contextualSpacing/>
    </w:pPr>
  </w:style>
  <w:style w:type="table" w:styleId="Tablaconcuadrcula">
    <w:name w:val="Table Grid"/>
    <w:basedOn w:val="Tablanormal"/>
    <w:uiPriority w:val="39"/>
    <w:rsid w:val="00DC0AF8"/>
    <w:pPr>
      <w:pBdr>
        <w:top w:val="nil"/>
        <w:left w:val="nil"/>
        <w:bottom w:val="nil"/>
        <w:right w:val="nil"/>
        <w:between w:val="nil"/>
      </w:pBdr>
    </w:pPr>
    <w:rPr>
      <w:rFonts w:ascii="Times New Roman" w:eastAsia="Times New Roman" w:hAnsi="Times New Roman" w:cs="Times New Roman"/>
      <w:color w:val="00000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rsid w:val="00DC0AF8"/>
    <w:rPr>
      <w:rFonts w:ascii="Times New Roman" w:eastAsia="Times New Roman" w:hAnsi="Times New Roman" w:cs="Times New Roman"/>
      <w:color w:val="000000"/>
      <w:lang w:val="es-ES" w:eastAsia="es-MX"/>
    </w:rPr>
  </w:style>
  <w:style w:type="paragraph" w:styleId="Textonotapie">
    <w:name w:val="footnote text"/>
    <w:basedOn w:val="Normal"/>
    <w:link w:val="TextonotapieCar"/>
    <w:uiPriority w:val="99"/>
    <w:semiHidden/>
    <w:unhideWhenUsed/>
    <w:rsid w:val="00DC0AF8"/>
    <w:rPr>
      <w:sz w:val="20"/>
      <w:szCs w:val="20"/>
    </w:rPr>
  </w:style>
  <w:style w:type="character" w:customStyle="1" w:styleId="TextonotapieCar">
    <w:name w:val="Texto nota pie Car"/>
    <w:basedOn w:val="Fuentedeprrafopredeter"/>
    <w:link w:val="Textonotapie"/>
    <w:uiPriority w:val="99"/>
    <w:semiHidden/>
    <w:rsid w:val="00DC0AF8"/>
    <w:rPr>
      <w:rFonts w:ascii="Times New Roman" w:eastAsia="Times New Roman" w:hAnsi="Times New Roman" w:cs="Times New Roman"/>
      <w:color w:val="000000"/>
      <w:sz w:val="20"/>
      <w:szCs w:val="20"/>
      <w:lang w:val="es-ES" w:eastAsia="es-MX"/>
    </w:rPr>
  </w:style>
  <w:style w:type="character" w:styleId="Refdenotaalpie">
    <w:name w:val="footnote reference"/>
    <w:basedOn w:val="Fuentedeprrafopredeter"/>
    <w:uiPriority w:val="99"/>
    <w:semiHidden/>
    <w:unhideWhenUsed/>
    <w:rsid w:val="00DC0AF8"/>
    <w:rPr>
      <w:vertAlign w:val="superscript"/>
    </w:rPr>
  </w:style>
  <w:style w:type="character" w:styleId="Refdecomentario">
    <w:name w:val="annotation reference"/>
    <w:basedOn w:val="Fuentedeprrafopredeter"/>
    <w:uiPriority w:val="99"/>
    <w:semiHidden/>
    <w:unhideWhenUsed/>
    <w:rsid w:val="007C3C41"/>
    <w:rPr>
      <w:sz w:val="16"/>
      <w:szCs w:val="16"/>
    </w:rPr>
  </w:style>
  <w:style w:type="paragraph" w:styleId="Textocomentario">
    <w:name w:val="annotation text"/>
    <w:basedOn w:val="Normal"/>
    <w:link w:val="TextocomentarioCar"/>
    <w:uiPriority w:val="99"/>
    <w:semiHidden/>
    <w:unhideWhenUsed/>
    <w:rsid w:val="007C3C41"/>
    <w:rPr>
      <w:sz w:val="20"/>
      <w:szCs w:val="20"/>
    </w:rPr>
  </w:style>
  <w:style w:type="character" w:customStyle="1" w:styleId="TextocomentarioCar">
    <w:name w:val="Texto comentario Car"/>
    <w:basedOn w:val="Fuentedeprrafopredeter"/>
    <w:link w:val="Textocomentario"/>
    <w:uiPriority w:val="99"/>
    <w:semiHidden/>
    <w:rsid w:val="007C3C41"/>
    <w:rPr>
      <w:rFonts w:ascii="Times New Roman" w:eastAsia="Times New Roman" w:hAnsi="Times New Roman" w:cs="Times New Roman"/>
      <w:color w:val="000000"/>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7C3C41"/>
    <w:rPr>
      <w:b/>
      <w:bCs/>
    </w:rPr>
  </w:style>
  <w:style w:type="character" w:customStyle="1" w:styleId="AsuntodelcomentarioCar">
    <w:name w:val="Asunto del comentario Car"/>
    <w:basedOn w:val="TextocomentarioCar"/>
    <w:link w:val="Asuntodelcomentario"/>
    <w:uiPriority w:val="99"/>
    <w:semiHidden/>
    <w:rsid w:val="007C3C41"/>
    <w:rPr>
      <w:rFonts w:ascii="Times New Roman" w:eastAsia="Times New Roman" w:hAnsi="Times New Roman" w:cs="Times New Roman"/>
      <w:b/>
      <w:bCs/>
      <w:color w:val="000000"/>
      <w:sz w:val="20"/>
      <w:szCs w:val="20"/>
      <w:lang w:val="es-ES" w:eastAsia="es-MX"/>
    </w:rPr>
  </w:style>
  <w:style w:type="paragraph" w:styleId="Textodeglobo">
    <w:name w:val="Balloon Text"/>
    <w:basedOn w:val="Normal"/>
    <w:link w:val="TextodegloboCar"/>
    <w:uiPriority w:val="99"/>
    <w:semiHidden/>
    <w:unhideWhenUsed/>
    <w:rsid w:val="007C3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C41"/>
    <w:rPr>
      <w:rFonts w:ascii="Segoe UI" w:eastAsia="Times New Roman" w:hAnsi="Segoe UI" w:cs="Segoe UI"/>
      <w:color w:val="000000"/>
      <w:sz w:val="18"/>
      <w:szCs w:val="18"/>
      <w:lang w:val="es-ES" w:eastAsia="es-MX"/>
    </w:rPr>
  </w:style>
  <w:style w:type="paragraph" w:styleId="Revisin">
    <w:name w:val="Revision"/>
    <w:hidden/>
    <w:uiPriority w:val="99"/>
    <w:semiHidden/>
    <w:rsid w:val="00A21E98"/>
    <w:rPr>
      <w:rFonts w:ascii="Times New Roman" w:eastAsia="Times New Roman" w:hAnsi="Times New Roman" w:cs="Times New Roman"/>
      <w:color w:val="00000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4219</Words>
  <Characters>23207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UNORCA EDOMEX A.C.</dc:creator>
  <cp:keywords/>
  <dc:description/>
  <cp:lastModifiedBy>Irma Méndez Rojas</cp:lastModifiedBy>
  <cp:revision>2</cp:revision>
  <cp:lastPrinted>2023-03-22T20:09:00Z</cp:lastPrinted>
  <dcterms:created xsi:type="dcterms:W3CDTF">2023-03-30T00:07:00Z</dcterms:created>
  <dcterms:modified xsi:type="dcterms:W3CDTF">2023-03-30T00:07:00Z</dcterms:modified>
</cp:coreProperties>
</file>